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8" Type="http://schemas.openxmlformats.org/officeDocument/2006/relationships/extended-properties" Target="docProps/app.xml"/><Relationship Id="rId7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" Type="http://schemas.microsoft.com/office/2006/relationships/ui/userCustomization" Target="userCustomization/customUI.xml"/><Relationship Id="rId5" Type="http://schemas.microsoft.com/office/2006/relationships/ui/extensibility" Target="Makroinstrukcje2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11EB2B" w14:textId="0F54164E" w:rsidR="007E2E2C" w:rsidRDefault="002D4237" w:rsidP="00124346">
      <w:pPr>
        <w:pStyle w:val="OZNPROJEKTUwskazaniedatylubwersjiprojektu"/>
      </w:pPr>
      <w:bookmarkStart w:id="0" w:name="_GoBack"/>
      <w:bookmarkEnd w:id="0"/>
      <w:r w:rsidRPr="002D4237">
        <w:t xml:space="preserve">Projekt </w:t>
      </w:r>
      <w:r w:rsidR="00245054">
        <w:t xml:space="preserve">z dnia </w:t>
      </w:r>
      <w:r w:rsidR="00646513">
        <w:t xml:space="preserve">10 </w:t>
      </w:r>
      <w:r w:rsidR="00565180">
        <w:t>października</w:t>
      </w:r>
      <w:r w:rsidR="00245054">
        <w:t xml:space="preserve"> </w:t>
      </w:r>
      <w:r w:rsidRPr="002D4237">
        <w:t>2023 r.</w:t>
      </w:r>
    </w:p>
    <w:p w14:paraId="27E86C87" w14:textId="77777777" w:rsidR="004B075D" w:rsidRPr="004B075D" w:rsidRDefault="004B075D" w:rsidP="004B075D">
      <w:pPr>
        <w:pStyle w:val="OZNRODZAKTUtznustawalubrozporzdzenieiorganwydajcy"/>
      </w:pPr>
    </w:p>
    <w:p w14:paraId="4595D87F" w14:textId="31216194" w:rsidR="002D4237" w:rsidRDefault="006067A7" w:rsidP="007E2E2C">
      <w:pPr>
        <w:pStyle w:val="OZNRODZAKTUtznustawalubrozporzdzenieiorganwydajcy"/>
      </w:pPr>
      <w:r w:rsidRPr="007E2E2C">
        <w:t>rozporządzenie</w:t>
      </w:r>
    </w:p>
    <w:p w14:paraId="209F5ACD" w14:textId="77777777" w:rsidR="006067A7" w:rsidRPr="006067A7" w:rsidRDefault="006067A7" w:rsidP="006067A7">
      <w:pPr>
        <w:pStyle w:val="OZNRODZAKTUtznustawalubrozporzdzenieiorganwydajcy"/>
      </w:pPr>
      <w:r>
        <w:t>ministra cyfryzacji</w:t>
      </w:r>
      <w:r w:rsidRPr="002F5C0D">
        <w:rPr>
          <w:rStyle w:val="IGindeksgrny"/>
        </w:rPr>
        <w:footnoteReference w:id="1"/>
      </w:r>
      <w:r w:rsidRPr="002F5C0D">
        <w:rPr>
          <w:rStyle w:val="IGindeksgrny"/>
        </w:rPr>
        <w:t>)</w:t>
      </w:r>
    </w:p>
    <w:p w14:paraId="1C6B3C12" w14:textId="647E56FE" w:rsidR="002D4237" w:rsidRPr="002D4237" w:rsidRDefault="002D4237" w:rsidP="002D4237">
      <w:pPr>
        <w:pStyle w:val="DATAAKTUdatauchwalenialubwydaniaaktu"/>
      </w:pPr>
      <w:r w:rsidRPr="002D4237">
        <w:t>z dnia</w:t>
      </w:r>
      <w:r w:rsidR="00245054">
        <w:t xml:space="preserve"> </w:t>
      </w:r>
      <w:r w:rsidRPr="002D4237">
        <w:t>… 2023 r.</w:t>
      </w:r>
    </w:p>
    <w:p w14:paraId="58EC50F6" w14:textId="44E33BDF" w:rsidR="002D4237" w:rsidRDefault="00CD7B27" w:rsidP="002D4237">
      <w:pPr>
        <w:pStyle w:val="TYTUAKTUprzedmiotregulacjiustawylubrozporzdzenia"/>
        <w:rPr>
          <w:rStyle w:val="IGindeksgrny"/>
        </w:rPr>
      </w:pPr>
      <w:r w:rsidRPr="00CD7B27">
        <w:t xml:space="preserve">w sprawie udzielania </w:t>
      </w:r>
      <w:r w:rsidRPr="00C81B56">
        <w:t xml:space="preserve">pomocy publicznej i pomocy </w:t>
      </w:r>
      <w:r w:rsidRPr="00C81B56">
        <w:rPr>
          <w:rStyle w:val="Kkursywa"/>
        </w:rPr>
        <w:t>de minimis</w:t>
      </w:r>
      <w:r w:rsidR="00355CD1" w:rsidRPr="00C81B56">
        <w:t xml:space="preserve"> </w:t>
      </w:r>
      <w:r w:rsidR="00355CD1">
        <w:t>na cyfrową dostępność i </w:t>
      </w:r>
      <w:r w:rsidRPr="00CD7B27">
        <w:t>ponowne wykorzy</w:t>
      </w:r>
      <w:r w:rsidR="00C8704B">
        <w:t>sta</w:t>
      </w:r>
      <w:r w:rsidRPr="00CD7B27">
        <w:t xml:space="preserve">nie informacji w ramach </w:t>
      </w:r>
      <w:r w:rsidR="00C8704B">
        <w:t>p</w:t>
      </w:r>
      <w:r w:rsidRPr="00CD7B27">
        <w:t xml:space="preserve">rogramu Fundusze Europejskie na Rozwój Cyfrowy </w:t>
      </w:r>
      <w:r w:rsidR="00FD44A3" w:rsidRPr="002F2E02">
        <w:t>2021</w:t>
      </w:r>
      <w:r w:rsidR="00FD44A3">
        <w:rPr>
          <w:rFonts w:cs="Times"/>
        </w:rPr>
        <w:t>‒</w:t>
      </w:r>
      <w:r w:rsidR="00FD44A3" w:rsidRPr="002F2E02">
        <w:t>2027</w:t>
      </w:r>
    </w:p>
    <w:p w14:paraId="7CEABFB6" w14:textId="31DCB592" w:rsidR="002E566F" w:rsidRPr="00355CD1" w:rsidRDefault="002E566F" w:rsidP="00355CD1">
      <w:pPr>
        <w:pStyle w:val="NIEARTTEKSTtekstnieartykuowanynppodstprawnarozplubpreambua"/>
        <w:rPr>
          <w:rStyle w:val="Ppogrubienie"/>
          <w:b w:val="0"/>
        </w:rPr>
      </w:pPr>
      <w:r>
        <w:t xml:space="preserve">Na podstawie art. </w:t>
      </w:r>
      <w:r w:rsidR="00355CD1">
        <w:t>30</w:t>
      </w:r>
      <w:r>
        <w:t xml:space="preserve"> ust. 4 </w:t>
      </w:r>
      <w:r w:rsidR="00355CD1">
        <w:t>ustawy z dnia 28 kwietnia 2022 r. o zasadach realizacji zadań finansowanych ze środków europejskich w perspektywie finansowej 2021–2027 (Dz. U. poz. 1079) zarządza się, co następuje</w:t>
      </w:r>
      <w:r w:rsidR="00213A67">
        <w:t>:</w:t>
      </w:r>
    </w:p>
    <w:p w14:paraId="54C99ADB" w14:textId="17A6E35C" w:rsidR="009354BE" w:rsidRDefault="00355CD1" w:rsidP="009354BE">
      <w:pPr>
        <w:pStyle w:val="ARTartustawynprozporzdzenia"/>
      </w:pPr>
      <w:bookmarkStart w:id="1" w:name="_Hlk145671233"/>
      <w:r w:rsidRPr="009354BE">
        <w:rPr>
          <w:rStyle w:val="Ppogrubienie"/>
        </w:rPr>
        <w:t>§</w:t>
      </w:r>
      <w:r w:rsidR="00462F1F">
        <w:rPr>
          <w:rStyle w:val="Ppogrubienie"/>
        </w:rPr>
        <w:t xml:space="preserve"> </w:t>
      </w:r>
      <w:r w:rsidR="002D4237" w:rsidRPr="009354BE">
        <w:rPr>
          <w:rStyle w:val="Ppogrubienie"/>
        </w:rPr>
        <w:t>1</w:t>
      </w:r>
      <w:bookmarkEnd w:id="1"/>
      <w:r w:rsidR="002D4237" w:rsidRPr="009354BE">
        <w:rPr>
          <w:rStyle w:val="Ppogrubienie"/>
          <w:b w:val="0"/>
        </w:rPr>
        <w:t>.</w:t>
      </w:r>
      <w:r w:rsidR="00462F1F">
        <w:t xml:space="preserve"> </w:t>
      </w:r>
      <w:r w:rsidRPr="009354BE">
        <w:t xml:space="preserve">Rozporządzenie określa szczegółowe przeznaczenie, warunki i tryb udzielania </w:t>
      </w:r>
      <w:r w:rsidRPr="00C81B56">
        <w:t xml:space="preserve">pomocy publicznej i pomocy </w:t>
      </w:r>
      <w:r w:rsidRPr="00C81B56">
        <w:rPr>
          <w:rStyle w:val="Kkursywa"/>
        </w:rPr>
        <w:t>de minimis</w:t>
      </w:r>
      <w:r w:rsidR="00616D1A" w:rsidRPr="00565180">
        <w:rPr>
          <w:rStyle w:val="Kkursywa"/>
        </w:rPr>
        <w:t>,</w:t>
      </w:r>
      <w:r w:rsidR="00616D1A" w:rsidRPr="00565180">
        <w:rPr>
          <w:rStyle w:val="Kkursywa"/>
          <w:i w:val="0"/>
        </w:rPr>
        <w:t xml:space="preserve"> zwanych dalej „pomocą”,</w:t>
      </w:r>
      <w:r w:rsidRPr="00C81B56">
        <w:t xml:space="preserve"> </w:t>
      </w:r>
      <w:r w:rsidRPr="009354BE">
        <w:t xml:space="preserve">w ramach </w:t>
      </w:r>
      <w:r w:rsidR="00060752" w:rsidRPr="009354BE">
        <w:t>działania 2.3</w:t>
      </w:r>
      <w:r w:rsidR="009B2F89">
        <w:t xml:space="preserve"> –</w:t>
      </w:r>
      <w:r w:rsidR="00060752" w:rsidRPr="009354BE">
        <w:t xml:space="preserve"> </w:t>
      </w:r>
      <w:r w:rsidR="009B2F89">
        <w:t>„</w:t>
      </w:r>
      <w:r w:rsidR="00FD43F6" w:rsidRPr="009354BE">
        <w:t xml:space="preserve">Cyfrowa dostępność i ponowne wykorzystanie informacji </w:t>
      </w:r>
      <w:r w:rsidR="00060752" w:rsidRPr="009354BE">
        <w:t>w</w:t>
      </w:r>
      <w:r w:rsidR="00DB01A4" w:rsidRPr="009354BE">
        <w:t xml:space="preserve"> </w:t>
      </w:r>
      <w:r w:rsidR="00FD3B6A">
        <w:t>p</w:t>
      </w:r>
      <w:r w:rsidR="00DB01A4" w:rsidRPr="009354BE">
        <w:t>rogram</w:t>
      </w:r>
      <w:r w:rsidR="00060752" w:rsidRPr="009354BE">
        <w:t>ie</w:t>
      </w:r>
      <w:r w:rsidR="00DB01A4" w:rsidRPr="009354BE">
        <w:t xml:space="preserve"> Fundusze Europejskie na Rozwój Cyfrowy 2021</w:t>
      </w:r>
      <w:r w:rsidR="00D30B78">
        <w:rPr>
          <w:rFonts w:cs="Times"/>
        </w:rPr>
        <w:t>‒</w:t>
      </w:r>
      <w:r w:rsidR="00DB01A4" w:rsidRPr="009354BE">
        <w:t>2027</w:t>
      </w:r>
      <w:r w:rsidR="009B2F89">
        <w:t>”</w:t>
      </w:r>
      <w:r w:rsidR="00A54F99" w:rsidRPr="009354BE">
        <w:t>, zwanego dalej</w:t>
      </w:r>
      <w:r w:rsidR="00060752" w:rsidRPr="009354BE">
        <w:t xml:space="preserve"> „</w:t>
      </w:r>
      <w:r w:rsidR="00A54F99" w:rsidRPr="009354BE">
        <w:t>dział</w:t>
      </w:r>
      <w:r w:rsidR="00060752" w:rsidRPr="009354BE">
        <w:t>aniem</w:t>
      </w:r>
      <w:r w:rsidR="00A54F99" w:rsidRPr="009354BE">
        <w:t xml:space="preserve"> 2.3</w:t>
      </w:r>
      <w:r w:rsidR="00060752" w:rsidRPr="009354BE">
        <w:t>”</w:t>
      </w:r>
      <w:r w:rsidR="00C730B1" w:rsidRPr="009354BE">
        <w:t>.</w:t>
      </w:r>
    </w:p>
    <w:p w14:paraId="0F2A7E3A" w14:textId="225F22AF" w:rsidR="0014191F" w:rsidRDefault="002E43CC" w:rsidP="004C14C5">
      <w:pPr>
        <w:pStyle w:val="ARTartustawynprozporzdzenia"/>
      </w:pPr>
      <w:r w:rsidRPr="002E43CC">
        <w:rPr>
          <w:b/>
        </w:rPr>
        <w:t xml:space="preserve">§ </w:t>
      </w:r>
      <w:r w:rsidR="00565180">
        <w:rPr>
          <w:b/>
        </w:rPr>
        <w:t>2</w:t>
      </w:r>
      <w:r>
        <w:t>.</w:t>
      </w:r>
      <w:r w:rsidR="00616D1A">
        <w:t xml:space="preserve"> Pomoc</w:t>
      </w:r>
      <w:r w:rsidR="002C471E" w:rsidRPr="002E43CC">
        <w:t xml:space="preserve"> </w:t>
      </w:r>
      <w:r w:rsidR="00616D1A">
        <w:t>jest</w:t>
      </w:r>
      <w:r w:rsidR="002C471E" w:rsidRPr="002E43CC">
        <w:t xml:space="preserve"> udzielan</w:t>
      </w:r>
      <w:r w:rsidR="00616D1A">
        <w:t>a</w:t>
      </w:r>
      <w:r w:rsidR="002C471E" w:rsidRPr="002E43CC">
        <w:t xml:space="preserve"> przez Centrum Projektów Polska Cyfrowa. </w:t>
      </w:r>
    </w:p>
    <w:p w14:paraId="6C392479" w14:textId="65334864" w:rsidR="005539CC" w:rsidRPr="006A6503" w:rsidRDefault="0014191F" w:rsidP="00A32ECA">
      <w:pPr>
        <w:pStyle w:val="ARTartustawynprozporzdzenia"/>
      </w:pPr>
      <w:r w:rsidRPr="0014191F">
        <w:rPr>
          <w:rStyle w:val="Ppogrubienie"/>
        </w:rPr>
        <w:t>§ 3</w:t>
      </w:r>
      <w:r>
        <w:t xml:space="preserve">. </w:t>
      </w:r>
      <w:bookmarkStart w:id="2" w:name="_Hlk145685504"/>
      <w:r>
        <w:t>Pomoc</w:t>
      </w:r>
      <w:r w:rsidR="00DF0FC9">
        <w:t xml:space="preserve"> </w:t>
      </w:r>
      <w:r>
        <w:t>jest udzielana w formie bezzwrotnego wsparcia finansowego</w:t>
      </w:r>
      <w:r w:rsidR="00DF0FC9">
        <w:t xml:space="preserve"> </w:t>
      </w:r>
      <w:r>
        <w:t xml:space="preserve">przeznaczonego na pokrycie </w:t>
      </w:r>
      <w:r w:rsidR="00983B9F">
        <w:t xml:space="preserve">wydatków </w:t>
      </w:r>
      <w:r w:rsidR="00F45E26">
        <w:t xml:space="preserve">kwalifikujących się do objęcia wsparciem </w:t>
      </w:r>
      <w:r w:rsidR="00CC1E05" w:rsidRPr="00D2366D">
        <w:t>w ramach działania 2.3</w:t>
      </w:r>
      <w:r w:rsidR="00A32E80" w:rsidRPr="00D2366D">
        <w:t>.</w:t>
      </w:r>
    </w:p>
    <w:bookmarkEnd w:id="2"/>
    <w:p w14:paraId="67393901" w14:textId="60B55EA0" w:rsidR="005539CC" w:rsidRPr="003913FE" w:rsidRDefault="005539CC" w:rsidP="005539CC">
      <w:pPr>
        <w:pStyle w:val="ARTartustawynprozporzdzenia"/>
      </w:pPr>
      <w:r w:rsidRPr="00E42941">
        <w:rPr>
          <w:rStyle w:val="Ppogrubienie"/>
        </w:rPr>
        <w:t>§ 4</w:t>
      </w:r>
      <w:r w:rsidRPr="00E42941">
        <w:t xml:space="preserve">. </w:t>
      </w:r>
      <w:r w:rsidR="00616D1A">
        <w:t xml:space="preserve">Pomoc </w:t>
      </w:r>
      <w:r w:rsidRPr="00E42941">
        <w:t>może</w:t>
      </w:r>
      <w:r w:rsidR="002774FC">
        <w:t xml:space="preserve"> </w:t>
      </w:r>
      <w:r w:rsidR="00535491">
        <w:t>być</w:t>
      </w:r>
      <w:r w:rsidR="002774FC">
        <w:t xml:space="preserve"> udzielona jako</w:t>
      </w:r>
      <w:r w:rsidRPr="00E42941">
        <w:t>:</w:t>
      </w:r>
    </w:p>
    <w:p w14:paraId="194CCFBB" w14:textId="5C920A79" w:rsidR="005539CC" w:rsidRPr="00C81B56" w:rsidRDefault="007C64C8" w:rsidP="00FB095F">
      <w:pPr>
        <w:pStyle w:val="PKTpunkt"/>
      </w:pPr>
      <w:r>
        <w:t>1)</w:t>
      </w:r>
      <w:r w:rsidR="00245054">
        <w:rPr>
          <w:color w:val="FF0000"/>
        </w:rPr>
        <w:tab/>
      </w:r>
      <w:r w:rsidR="005539CC" w:rsidRPr="00446BFF">
        <w:t xml:space="preserve">pomoc </w:t>
      </w:r>
      <w:r w:rsidR="005539CC" w:rsidRPr="00446BFF">
        <w:rPr>
          <w:rStyle w:val="Kkursywa"/>
        </w:rPr>
        <w:t>de minimis</w:t>
      </w:r>
      <w:r w:rsidR="005539CC" w:rsidRPr="00446BFF">
        <w:t xml:space="preserve"> </w:t>
      </w:r>
      <w:r w:rsidR="002774FC" w:rsidRPr="002774FC">
        <w:t xml:space="preserve">na zasadach określonych </w:t>
      </w:r>
      <w:r w:rsidR="005539CC" w:rsidRPr="00446BFF">
        <w:t>w rozporządzeniu Komisji (UE) nr 1407/2013</w:t>
      </w:r>
      <w:r w:rsidR="003B5F0E">
        <w:t xml:space="preserve"> </w:t>
      </w:r>
      <w:r w:rsidR="003B5F0E" w:rsidRPr="00C81B56">
        <w:t>z dnia 18 grudnia 2013 r. w</w:t>
      </w:r>
      <w:r w:rsidR="007E2E2C">
        <w:t xml:space="preserve"> </w:t>
      </w:r>
      <w:r w:rsidR="003B5F0E" w:rsidRPr="00C81B56">
        <w:t xml:space="preserve">sprawie stosowania art. 107 i 108 Traktatu o funkcjonowaniu Unii Europejskiej do pomocy </w:t>
      </w:r>
      <w:r w:rsidR="003B5F0E" w:rsidRPr="00C81B56">
        <w:rPr>
          <w:rStyle w:val="Kkursywa"/>
        </w:rPr>
        <w:t>de minimis</w:t>
      </w:r>
      <w:r w:rsidR="003B5F0E" w:rsidRPr="00C81B56">
        <w:t xml:space="preserve"> (Dz. Urz. UE L 352 z 24.12.2013, </w:t>
      </w:r>
      <w:r w:rsidR="003B5F0E">
        <w:t>str. 1, z pó</w:t>
      </w:r>
      <w:r w:rsidR="003B5F0E">
        <w:rPr>
          <w:rFonts w:cs="Times"/>
        </w:rPr>
        <w:t>ź</w:t>
      </w:r>
      <w:r w:rsidR="003B5F0E">
        <w:t>n. zm.</w:t>
      </w:r>
      <w:r w:rsidR="003B5F0E" w:rsidRPr="002F5C0D">
        <w:rPr>
          <w:rStyle w:val="IGindeksgrny"/>
        </w:rPr>
        <w:footnoteReference w:id="2"/>
      </w:r>
      <w:r w:rsidR="003B5F0E" w:rsidRPr="002F5C0D">
        <w:rPr>
          <w:rStyle w:val="IGindeksgrny"/>
        </w:rPr>
        <w:t>)</w:t>
      </w:r>
      <w:r w:rsidR="003B5F0E" w:rsidRPr="00C81B56">
        <w:t>), zwan</w:t>
      </w:r>
      <w:r w:rsidR="003B5F0E">
        <w:t>ego</w:t>
      </w:r>
      <w:r w:rsidR="003B5F0E" w:rsidRPr="00C81B56">
        <w:t xml:space="preserve"> dalej „rozporządzeniem Komisji (UE) nr 1407/2013”</w:t>
      </w:r>
      <w:r w:rsidR="001E21EA">
        <w:t xml:space="preserve"> lub</w:t>
      </w:r>
    </w:p>
    <w:p w14:paraId="32C9EFC8" w14:textId="691A5438" w:rsidR="00EF2EB2" w:rsidRDefault="007C64C8" w:rsidP="00EF2EB2">
      <w:pPr>
        <w:pStyle w:val="PKTpunkt"/>
      </w:pPr>
      <w:r>
        <w:t>2)</w:t>
      </w:r>
      <w:r w:rsidR="005539CC" w:rsidRPr="00C81B56">
        <w:tab/>
      </w:r>
      <w:bookmarkStart w:id="3" w:name="_Hlk146118961"/>
      <w:r w:rsidR="002774FC" w:rsidRPr="00C81B56">
        <w:t>regionaln</w:t>
      </w:r>
      <w:r w:rsidR="002774FC">
        <w:t>a</w:t>
      </w:r>
      <w:r w:rsidR="002774FC" w:rsidRPr="00C81B56">
        <w:t xml:space="preserve"> </w:t>
      </w:r>
      <w:r w:rsidR="005539CC" w:rsidRPr="00C81B56">
        <w:t xml:space="preserve">pomoc </w:t>
      </w:r>
      <w:r w:rsidR="002774FC" w:rsidRPr="00C81B56">
        <w:t>inwestycyjn</w:t>
      </w:r>
      <w:r w:rsidR="002774FC">
        <w:t>a</w:t>
      </w:r>
      <w:r w:rsidR="002774FC" w:rsidRPr="00C81B56">
        <w:t xml:space="preserve"> </w:t>
      </w:r>
      <w:r w:rsidR="002774FC" w:rsidRPr="002774FC">
        <w:t xml:space="preserve">na zasadach określonych </w:t>
      </w:r>
      <w:r w:rsidR="00944ADC">
        <w:t>w</w:t>
      </w:r>
      <w:r w:rsidR="00EF2EB2">
        <w:t>:</w:t>
      </w:r>
    </w:p>
    <w:p w14:paraId="0800A400" w14:textId="7672C5C2" w:rsidR="00EF2EB2" w:rsidRDefault="00EF2EB2" w:rsidP="00EF2EB2">
      <w:pPr>
        <w:pStyle w:val="LITlitera"/>
      </w:pPr>
      <w:r>
        <w:t>a)</w:t>
      </w:r>
      <w:r>
        <w:tab/>
      </w:r>
      <w:r w:rsidR="005539CC" w:rsidRPr="00C81B56">
        <w:t xml:space="preserve">przepisach </w:t>
      </w:r>
      <w:r w:rsidR="005539CC" w:rsidRPr="00410F3F">
        <w:t xml:space="preserve">rozdziału I </w:t>
      </w:r>
      <w:bookmarkStart w:id="4" w:name="_Hlk146190744"/>
      <w:r w:rsidR="00B7660D">
        <w:t>oraz</w:t>
      </w:r>
      <w:r w:rsidR="00B7660D" w:rsidRPr="00410F3F">
        <w:t xml:space="preserve"> </w:t>
      </w:r>
      <w:r w:rsidR="005539CC" w:rsidRPr="00410F3F">
        <w:t xml:space="preserve">art. </w:t>
      </w:r>
      <w:r w:rsidR="00B7660D">
        <w:t xml:space="preserve">13 i </w:t>
      </w:r>
      <w:r w:rsidR="005539CC" w:rsidRPr="00410F3F">
        <w:t xml:space="preserve">14 </w:t>
      </w:r>
      <w:r w:rsidR="005539CC" w:rsidRPr="00C81B56">
        <w:t>rozporzą</w:t>
      </w:r>
      <w:r w:rsidR="00FE3CB8">
        <w:t>dzenia Komisji (UE) nr 651/2014</w:t>
      </w:r>
      <w:bookmarkEnd w:id="3"/>
      <w:bookmarkEnd w:id="4"/>
      <w:r w:rsidR="00F52558">
        <w:t xml:space="preserve"> </w:t>
      </w:r>
      <w:r w:rsidR="007E2E2C">
        <w:t>z </w:t>
      </w:r>
      <w:r w:rsidR="00F52558" w:rsidRPr="00F52558">
        <w:t xml:space="preserve">dnia 17 czerwca 2014 r. uznającego niektóre rodzaje pomocy za zgodne z rynkiem </w:t>
      </w:r>
      <w:r w:rsidR="00F52558" w:rsidRPr="00F52558">
        <w:lastRenderedPageBreak/>
        <w:t>wewnętrznym w zastosowaniu art. 107 i 10</w:t>
      </w:r>
      <w:r w:rsidR="007E2E2C">
        <w:t>8 Traktatu (Dz. Urz. UE L 187 z </w:t>
      </w:r>
      <w:r w:rsidR="00F52558" w:rsidRPr="00F52558">
        <w:t>26.06.2014, str. 1, z późn. zm.</w:t>
      </w:r>
      <w:r w:rsidR="00FA6F36">
        <w:rPr>
          <w:rStyle w:val="Odwoanieprzypisudolnego"/>
        </w:rPr>
        <w:footnoteReference w:id="3"/>
      </w:r>
      <w:r w:rsidR="00FA6F36" w:rsidRPr="001E21EA">
        <w:rPr>
          <w:rStyle w:val="IGindeksgrny"/>
        </w:rPr>
        <w:t>)</w:t>
      </w:r>
      <w:r w:rsidR="00F52558" w:rsidRPr="00F52558">
        <w:t>), zwanego dalej „rozporządzeniem Komisji (UE) nr 651/2014”</w:t>
      </w:r>
      <w:r>
        <w:t>,</w:t>
      </w:r>
    </w:p>
    <w:p w14:paraId="1BA04D66" w14:textId="480035FF" w:rsidR="00B87122" w:rsidRPr="00C81B56" w:rsidRDefault="007C64C8" w:rsidP="00EF2EB2">
      <w:pPr>
        <w:pStyle w:val="LITlitera"/>
      </w:pPr>
      <w:r>
        <w:t>b)</w:t>
      </w:r>
      <w:r w:rsidR="00EF2EB2">
        <w:tab/>
      </w:r>
      <w:r w:rsidR="00FE3CB8">
        <w:t>przepisa</w:t>
      </w:r>
      <w:r w:rsidR="00944ADC">
        <w:t xml:space="preserve">ch wydanych </w:t>
      </w:r>
      <w:r w:rsidR="00FE3CB8">
        <w:t xml:space="preserve">na podstawie art. 10 ust. 2 ustawy </w:t>
      </w:r>
      <w:r w:rsidR="00EF2EB2">
        <w:t>z dnia 30 kwietnia 2004 </w:t>
      </w:r>
      <w:r w:rsidR="00FE3CB8" w:rsidRPr="00FE3CB8">
        <w:t>r. o postępowaniu w sprawach dotyczących pomocy publicznej</w:t>
      </w:r>
      <w:r w:rsidR="00EF2EB2">
        <w:t xml:space="preserve"> (Dz. U. z 2023 </w:t>
      </w:r>
      <w:r w:rsidR="00F71A6F">
        <w:t xml:space="preserve">r. </w:t>
      </w:r>
      <w:r w:rsidR="00EF2EB2">
        <w:t>poz. 702)</w:t>
      </w:r>
      <w:r w:rsidR="001E21EA">
        <w:t xml:space="preserve"> lub</w:t>
      </w:r>
    </w:p>
    <w:p w14:paraId="6FC5FAC6" w14:textId="284DBAAB" w:rsidR="005539CC" w:rsidRDefault="007C64C8" w:rsidP="005539CC">
      <w:pPr>
        <w:pStyle w:val="PKTpunkt"/>
      </w:pPr>
      <w:r>
        <w:t>3)</w:t>
      </w:r>
      <w:r w:rsidR="005539CC" w:rsidRPr="00C81B56">
        <w:tab/>
        <w:t xml:space="preserve">pomoc </w:t>
      </w:r>
      <w:r w:rsidR="00703E3B" w:rsidRPr="00E030C2">
        <w:t>szkoleniowa</w:t>
      </w:r>
      <w:r w:rsidR="005539CC" w:rsidRPr="00C81B56">
        <w:t xml:space="preserve"> </w:t>
      </w:r>
      <w:r w:rsidR="002774FC" w:rsidRPr="002774FC">
        <w:t xml:space="preserve">na zasadach określonych </w:t>
      </w:r>
      <w:r w:rsidR="005539CC" w:rsidRPr="00C81B56">
        <w:t>w</w:t>
      </w:r>
      <w:r w:rsidR="00C4418B">
        <w:t xml:space="preserve"> </w:t>
      </w:r>
      <w:r w:rsidR="005539CC" w:rsidRPr="00AF61BD">
        <w:t>rozdz</w:t>
      </w:r>
      <w:r w:rsidR="00EE5544">
        <w:t>i</w:t>
      </w:r>
      <w:r w:rsidR="00C4418B">
        <w:t>ale</w:t>
      </w:r>
      <w:r w:rsidR="005539CC" w:rsidRPr="00AF61BD">
        <w:t xml:space="preserve"> I i art. 31 </w:t>
      </w:r>
      <w:r w:rsidR="005539CC" w:rsidRPr="00E42941">
        <w:t>rozporządzenia Komisji (UE) nr 651/2014</w:t>
      </w:r>
      <w:r w:rsidR="001E21EA">
        <w:t xml:space="preserve"> lub</w:t>
      </w:r>
    </w:p>
    <w:p w14:paraId="3E40B100" w14:textId="43649351" w:rsidR="0000662E" w:rsidRDefault="00E959CD" w:rsidP="00A32ECA">
      <w:pPr>
        <w:pStyle w:val="PKTpunkt"/>
      </w:pPr>
      <w:r>
        <w:t>4)</w:t>
      </w:r>
      <w:r>
        <w:tab/>
        <w:t xml:space="preserve">pomoc na kulturę i zachowanie dziedzictwa kulturowego </w:t>
      </w:r>
      <w:r w:rsidR="002774FC" w:rsidRPr="002774FC">
        <w:t xml:space="preserve">na zasadach określonych </w:t>
      </w:r>
      <w:r w:rsidR="007E2E2C">
        <w:t>w </w:t>
      </w:r>
      <w:r w:rsidRPr="00AF61BD">
        <w:t>rozdz</w:t>
      </w:r>
      <w:r w:rsidR="00C4418B">
        <w:t>iale</w:t>
      </w:r>
      <w:r w:rsidRPr="00AF61BD">
        <w:t xml:space="preserve"> I i art. 53 rozporządzenia </w:t>
      </w:r>
      <w:r>
        <w:t>Komisji (UE) nr 651/2014</w:t>
      </w:r>
      <w:r w:rsidR="00A7349B" w:rsidRPr="00F7137A">
        <w:t>.</w:t>
      </w:r>
    </w:p>
    <w:p w14:paraId="571348F1" w14:textId="14AE4E40" w:rsidR="000954C2" w:rsidRDefault="00741ECA" w:rsidP="00741ECA">
      <w:pPr>
        <w:pStyle w:val="ARTartustawynprozporzdzenia"/>
      </w:pPr>
      <w:r w:rsidRPr="00B707AA">
        <w:rPr>
          <w:rStyle w:val="Ppogrubienie"/>
        </w:rPr>
        <w:t xml:space="preserve">§ </w:t>
      </w:r>
      <w:r w:rsidR="000233BC">
        <w:rPr>
          <w:rStyle w:val="Ppogrubienie"/>
        </w:rPr>
        <w:t>5</w:t>
      </w:r>
      <w:r w:rsidRPr="00DA25A2">
        <w:t>.</w:t>
      </w:r>
      <w:r>
        <w:t xml:space="preserve"> 1</w:t>
      </w:r>
      <w:r w:rsidRPr="00DA25A2">
        <w:t xml:space="preserve">. </w:t>
      </w:r>
      <w:r w:rsidR="000954C2" w:rsidRPr="000954C2">
        <w:t xml:space="preserve">Pomoc może </w:t>
      </w:r>
      <w:r w:rsidR="000954C2">
        <w:t>być</w:t>
      </w:r>
      <w:r w:rsidR="000954C2" w:rsidRPr="000954C2">
        <w:t xml:space="preserve"> udzielona</w:t>
      </w:r>
      <w:r w:rsidR="00535491">
        <w:t xml:space="preserve"> </w:t>
      </w:r>
      <w:r w:rsidR="0079726C">
        <w:t>przedsiębiorcy</w:t>
      </w:r>
      <w:r w:rsidR="00535491" w:rsidRPr="00535491">
        <w:t xml:space="preserve"> </w:t>
      </w:r>
      <w:r w:rsidR="00535491">
        <w:t>określonemu w działaniu 2.3,</w:t>
      </w:r>
      <w:r w:rsidR="0079726C">
        <w:t xml:space="preserve"> </w:t>
      </w:r>
      <w:r w:rsidR="0079726C" w:rsidRPr="000954C2">
        <w:t>przez którego rozumie się przedsiębiorstwo w rozumieniu art. 1 załącznika I do rozporządzenia Komisji (UE) nr 651/2014.</w:t>
      </w:r>
      <w:r w:rsidR="000954C2" w:rsidRPr="000954C2">
        <w:t xml:space="preserve"> </w:t>
      </w:r>
    </w:p>
    <w:p w14:paraId="06201CEB" w14:textId="3F4F767D" w:rsidR="00741ECA" w:rsidRPr="00DA25A2" w:rsidRDefault="000954C2" w:rsidP="00741ECA">
      <w:pPr>
        <w:pStyle w:val="ARTartustawynprozporzdzenia"/>
      </w:pPr>
      <w:r>
        <w:t xml:space="preserve">2. </w:t>
      </w:r>
      <w:r w:rsidR="00741ECA">
        <w:t xml:space="preserve">Pomoc </w:t>
      </w:r>
      <w:r w:rsidR="00741ECA" w:rsidRPr="00DA25A2">
        <w:t>może być udzielon</w:t>
      </w:r>
      <w:r w:rsidR="00741ECA">
        <w:t>a</w:t>
      </w:r>
      <w:r w:rsidR="0079726C">
        <w:t xml:space="preserve"> </w:t>
      </w:r>
      <w:r w:rsidR="00741ECA" w:rsidRPr="00DA25A2">
        <w:t>przedsiębiorcy, który spełnia następujące warunki:</w:t>
      </w:r>
    </w:p>
    <w:p w14:paraId="19021846" w14:textId="65515249" w:rsidR="00741ECA" w:rsidRPr="00DA25A2" w:rsidRDefault="00741ECA" w:rsidP="00741ECA">
      <w:pPr>
        <w:pStyle w:val="PKTpunkt"/>
      </w:pPr>
      <w:r>
        <w:t>1)</w:t>
      </w:r>
      <w:r>
        <w:tab/>
      </w:r>
      <w:r w:rsidRPr="00DA25A2">
        <w:t>prowadzi działalność gospodarczą, co najmniej w formie oddziału, na terytorium Rzeczypospolitej Polskiej</w:t>
      </w:r>
      <w:r>
        <w:t>,</w:t>
      </w:r>
      <w:r w:rsidRPr="00DA25A2">
        <w:t xml:space="preserve"> </w:t>
      </w:r>
      <w:r>
        <w:t xml:space="preserve">przy czym </w:t>
      </w:r>
      <w:r w:rsidRPr="00DA25A2">
        <w:t xml:space="preserve">wymóg </w:t>
      </w:r>
      <w:r>
        <w:t xml:space="preserve">dotyczący prowadzenia działalności w formie oddziału </w:t>
      </w:r>
      <w:r w:rsidRPr="00DA25A2">
        <w:t xml:space="preserve">musi być spełniony najpóźniej w momencie wypłaty </w:t>
      </w:r>
      <w:r w:rsidR="00C17FEF">
        <w:t>pomocy</w:t>
      </w:r>
      <w:r w:rsidRPr="00DA25A2">
        <w:t>;</w:t>
      </w:r>
    </w:p>
    <w:p w14:paraId="0069F20D" w14:textId="77777777" w:rsidR="00741ECA" w:rsidRPr="00DA25A2" w:rsidRDefault="00741ECA" w:rsidP="00741ECA">
      <w:pPr>
        <w:pStyle w:val="PKTpunkt"/>
      </w:pPr>
      <w:r>
        <w:t>2)</w:t>
      </w:r>
      <w:r>
        <w:tab/>
      </w:r>
      <w:r w:rsidRPr="00DA25A2">
        <w:t>jest wpisany do właściwego rejestru;</w:t>
      </w:r>
    </w:p>
    <w:p w14:paraId="7B778E2C" w14:textId="417E5052" w:rsidR="00741ECA" w:rsidRPr="00DA25A2" w:rsidRDefault="00741ECA" w:rsidP="00741ECA">
      <w:pPr>
        <w:pStyle w:val="PKTpunkt"/>
      </w:pPr>
      <w:r>
        <w:t>3)</w:t>
      </w:r>
      <w:r>
        <w:tab/>
      </w:r>
      <w:bookmarkStart w:id="5" w:name="_Hlk146117557"/>
      <w:r w:rsidRPr="00DA25A2">
        <w:t xml:space="preserve">złożył wniosek o udzielenie </w:t>
      </w:r>
      <w:r>
        <w:t>pomocy</w:t>
      </w:r>
      <w:r w:rsidR="0079726C">
        <w:t xml:space="preserve">, zwany dalej „wnioskiem”, </w:t>
      </w:r>
      <w:r w:rsidRPr="00DA25A2">
        <w:t>przed rozpoczęciem realizacji projektu,</w:t>
      </w:r>
      <w:r>
        <w:t xml:space="preserve"> przez co należy rozumieć rozpoczęcie prac, </w:t>
      </w:r>
      <w:r w:rsidRPr="00C556B6">
        <w:t>o którym mowa w art. 2 pkt 23 rozporządzenia Komisji (UE) nr 651/2014</w:t>
      </w:r>
      <w:r>
        <w:t>,</w:t>
      </w:r>
      <w:r w:rsidRPr="00DA25A2">
        <w:t xml:space="preserve"> chyba że </w:t>
      </w:r>
      <w:r w:rsidR="00A85A9F">
        <w:t>wniosek dotyczy</w:t>
      </w:r>
      <w:r w:rsidRPr="00DA25A2">
        <w:t xml:space="preserve"> jedynie</w:t>
      </w:r>
      <w:r>
        <w:t xml:space="preserve">  pomocy, o której mowa w </w:t>
      </w:r>
      <w:r w:rsidRPr="00BE21DB">
        <w:t xml:space="preserve">§ 4 pkt 1 </w:t>
      </w:r>
      <w:r>
        <w:t>lub</w:t>
      </w:r>
      <w:r w:rsidRPr="00BE21DB">
        <w:t xml:space="preserve"> </w:t>
      </w:r>
      <w:r>
        <w:t>pkt 4</w:t>
      </w:r>
      <w:bookmarkEnd w:id="5"/>
      <w:r w:rsidRPr="007C64C8">
        <w:t>;</w:t>
      </w:r>
    </w:p>
    <w:p w14:paraId="349629B2" w14:textId="77777777" w:rsidR="00741ECA" w:rsidRDefault="00741ECA" w:rsidP="00741ECA">
      <w:pPr>
        <w:pStyle w:val="PKTpunkt"/>
      </w:pPr>
      <w:r>
        <w:t>4)</w:t>
      </w:r>
      <w:r>
        <w:tab/>
      </w:r>
      <w:r w:rsidRPr="00DA25A2">
        <w:t>nie uzyskał pomocy finansowej ze środków publicznych na te same wydatki w ramach realizowanego projektu;</w:t>
      </w:r>
    </w:p>
    <w:p w14:paraId="7FCA4F54" w14:textId="22B37D3A" w:rsidR="00741ECA" w:rsidRDefault="00741ECA" w:rsidP="00741ECA">
      <w:pPr>
        <w:pStyle w:val="PKTpunkt"/>
      </w:pPr>
      <w:r>
        <w:t>5)</w:t>
      </w:r>
      <w:r>
        <w:tab/>
        <w:t>przedstawił informacje</w:t>
      </w:r>
      <w:r w:rsidRPr="009E12A6">
        <w:t xml:space="preserve">, o których mowa w art. 37 ust. 1 </w:t>
      </w:r>
      <w:r>
        <w:t>ustawy z dnia 30 kwietnia 2004 </w:t>
      </w:r>
      <w:r w:rsidRPr="009E12A6">
        <w:t xml:space="preserve">r. o postępowaniu w sprawach dotyczących pomocy publicznej </w:t>
      </w:r>
      <w:r>
        <w:t xml:space="preserve">w przypadku ubiegania się o pomoc, o której mowa w </w:t>
      </w:r>
      <w:r w:rsidR="006C6637">
        <w:t>§</w:t>
      </w:r>
      <w:r>
        <w:t xml:space="preserve"> 4 pkt 1</w:t>
      </w:r>
      <w:r w:rsidRPr="009E12A6">
        <w:t>;</w:t>
      </w:r>
    </w:p>
    <w:p w14:paraId="0F52362A" w14:textId="0AB2D52C" w:rsidR="00741ECA" w:rsidRDefault="00741ECA" w:rsidP="00741ECA">
      <w:pPr>
        <w:pStyle w:val="PKTpunkt"/>
      </w:pPr>
      <w:r>
        <w:lastRenderedPageBreak/>
        <w:t>6)</w:t>
      </w:r>
      <w:r>
        <w:tab/>
        <w:t>przedstawił informacje, o których mowa w art.</w:t>
      </w:r>
      <w:r w:rsidRPr="009E12A6">
        <w:t xml:space="preserve"> 37 ust. 5</w:t>
      </w:r>
      <w:r>
        <w:t xml:space="preserve"> ustawy z dnia 30 kwietnia 2004 </w:t>
      </w:r>
      <w:r w:rsidRPr="009E12A6">
        <w:t>r. o postępowaniu w sprawach dotyczących pomocy publicznej</w:t>
      </w:r>
      <w:r>
        <w:t xml:space="preserve">, w przypadku ubiegania się o pomoc, o której mowa w </w:t>
      </w:r>
      <w:r w:rsidR="006C6637">
        <w:t>§</w:t>
      </w:r>
      <w:r w:rsidR="006D4351">
        <w:t xml:space="preserve"> 4 pkt 2</w:t>
      </w:r>
      <w:r w:rsidR="00A04591">
        <w:rPr>
          <w:rFonts w:cs="Times"/>
        </w:rPr>
        <w:t>‒</w:t>
      </w:r>
      <w:r>
        <w:t>4.</w:t>
      </w:r>
    </w:p>
    <w:p w14:paraId="5FF4AB6B" w14:textId="26578344" w:rsidR="00741ECA" w:rsidRDefault="0079726C" w:rsidP="00741ECA">
      <w:pPr>
        <w:pStyle w:val="USTustnpkodeksu"/>
      </w:pPr>
      <w:r>
        <w:t>3</w:t>
      </w:r>
      <w:r w:rsidR="00741ECA" w:rsidRPr="00A17CF6" w:rsidDel="00046A00">
        <w:t xml:space="preserve">. </w:t>
      </w:r>
      <w:r w:rsidR="00741ECA" w:rsidRPr="00787C01">
        <w:t>Pomocy udziela się na projekty wybrane</w:t>
      </w:r>
      <w:r w:rsidR="00741ECA">
        <w:t xml:space="preserve"> </w:t>
      </w:r>
      <w:r w:rsidR="00741ECA" w:rsidRPr="00C604A7" w:rsidDel="00046A00">
        <w:t xml:space="preserve">w </w:t>
      </w:r>
      <w:r w:rsidR="00741ECA" w:rsidDel="00046A00">
        <w:t>sposób</w:t>
      </w:r>
      <w:r w:rsidR="00741ECA" w:rsidRPr="00C604A7" w:rsidDel="00046A00">
        <w:t xml:space="preserve">, o którym mowa w art. 44 </w:t>
      </w:r>
      <w:r w:rsidR="00741ECA" w:rsidRPr="00DA25A2" w:rsidDel="00046A00">
        <w:t>ustawy z</w:t>
      </w:r>
      <w:r w:rsidR="00B255C1">
        <w:t> </w:t>
      </w:r>
      <w:r w:rsidR="00741ECA" w:rsidRPr="00DA25A2" w:rsidDel="00046A00">
        <w:t>dnia</w:t>
      </w:r>
      <w:r w:rsidR="00741ECA" w:rsidRPr="00066508" w:rsidDel="00046A00">
        <w:t xml:space="preserve"> 28 kwietnia 2022 r. o zasadach realizacji zadań finansowanych ze środków europejskich w perspektywie finansowej 2021–2027</w:t>
      </w:r>
      <w:r w:rsidR="00741ECA" w:rsidRPr="00DA25A2" w:rsidDel="00046A00">
        <w:t>.</w:t>
      </w:r>
    </w:p>
    <w:p w14:paraId="27715955" w14:textId="15BEE6F0" w:rsidR="00741ECA" w:rsidRDefault="0079726C" w:rsidP="00741ECA">
      <w:pPr>
        <w:pStyle w:val="USTustnpkodeksu"/>
      </w:pPr>
      <w:r>
        <w:t>4</w:t>
      </w:r>
      <w:r w:rsidR="008E157F">
        <w:t>.</w:t>
      </w:r>
      <w:r w:rsidR="00741ECA">
        <w:tab/>
        <w:t xml:space="preserve">Wniosek, o którym mowa w ust. </w:t>
      </w:r>
      <w:r w:rsidR="009B2F89">
        <w:t xml:space="preserve">2 </w:t>
      </w:r>
      <w:r w:rsidR="00741ECA">
        <w:t>pkt 3</w:t>
      </w:r>
      <w:r>
        <w:t>,</w:t>
      </w:r>
      <w:r w:rsidR="00741ECA">
        <w:t xml:space="preserve"> zawiera informacje wskazane w art. 6 ust. 2 rozporządzenia Komisji (UE) nr 651/2014.</w:t>
      </w:r>
    </w:p>
    <w:p w14:paraId="04FB0D58" w14:textId="5F52D561" w:rsidR="002F15EF" w:rsidRPr="009E45AA" w:rsidRDefault="006D372F" w:rsidP="00A32ECA">
      <w:pPr>
        <w:pStyle w:val="ARTartustawynprozporzdzenia"/>
      </w:pPr>
      <w:r w:rsidRPr="00F413C8">
        <w:rPr>
          <w:rStyle w:val="Ppogrubienie"/>
        </w:rPr>
        <w:t xml:space="preserve">§ </w:t>
      </w:r>
      <w:r w:rsidR="000233BC">
        <w:rPr>
          <w:rStyle w:val="Ppogrubienie"/>
        </w:rPr>
        <w:t>6</w:t>
      </w:r>
      <w:r w:rsidRPr="00F413C8">
        <w:t xml:space="preserve">. </w:t>
      </w:r>
      <w:r w:rsidR="002F15EF" w:rsidRPr="00F413C8">
        <w:t xml:space="preserve">1. </w:t>
      </w:r>
      <w:r w:rsidR="00941EE2">
        <w:t>Pomocy</w:t>
      </w:r>
      <w:r w:rsidR="00BA152B">
        <w:t xml:space="preserve"> </w:t>
      </w:r>
      <w:r w:rsidR="001E21EA">
        <w:t>nie udziela się</w:t>
      </w:r>
      <w:r w:rsidR="00A32ECA">
        <w:t xml:space="preserve"> </w:t>
      </w:r>
      <w:r w:rsidR="002F15EF" w:rsidRPr="009E45AA">
        <w:t>w zakresie:</w:t>
      </w:r>
    </w:p>
    <w:p w14:paraId="2E3B9241" w14:textId="481FD6F8" w:rsidR="002F15EF" w:rsidRPr="009E45AA" w:rsidRDefault="00F74036" w:rsidP="00A32ECA">
      <w:pPr>
        <w:pStyle w:val="PKTpunkt"/>
      </w:pPr>
      <w:r>
        <w:t>1</w:t>
      </w:r>
      <w:r w:rsidR="007C64C8">
        <w:t>)</w:t>
      </w:r>
      <w:r w:rsidR="00244D32" w:rsidRPr="009E45AA">
        <w:tab/>
      </w:r>
      <w:r w:rsidR="002F15EF" w:rsidRPr="009E45AA">
        <w:t>produkcji lub wprowadzania do obrotu wyrobów tytoniowych</w:t>
      </w:r>
      <w:r>
        <w:t>;</w:t>
      </w:r>
    </w:p>
    <w:p w14:paraId="3E66A4AD" w14:textId="36FE2626" w:rsidR="002F15EF" w:rsidRPr="009E45AA" w:rsidRDefault="00F74036" w:rsidP="00A32ECA">
      <w:pPr>
        <w:pStyle w:val="PKTpunkt"/>
      </w:pPr>
      <w:r>
        <w:t>2</w:t>
      </w:r>
      <w:r w:rsidR="007C64C8">
        <w:t>)</w:t>
      </w:r>
      <w:r w:rsidR="00244D32" w:rsidRPr="009E45AA">
        <w:tab/>
      </w:r>
      <w:r w:rsidR="002F15EF" w:rsidRPr="009E45AA">
        <w:t>produkcji lub wprowadzania do obrotu napojów alkoholowych</w:t>
      </w:r>
      <w:r>
        <w:t>;</w:t>
      </w:r>
    </w:p>
    <w:p w14:paraId="02C84B41" w14:textId="5ABC2502" w:rsidR="002F15EF" w:rsidRPr="009E45AA" w:rsidRDefault="00F74036" w:rsidP="00A32ECA">
      <w:pPr>
        <w:pStyle w:val="PKTpunkt"/>
      </w:pPr>
      <w:r>
        <w:t>3</w:t>
      </w:r>
      <w:r w:rsidR="007C64C8">
        <w:t>)</w:t>
      </w:r>
      <w:r w:rsidR="00244D32" w:rsidRPr="009E45AA">
        <w:tab/>
      </w:r>
      <w:r w:rsidR="002F15EF" w:rsidRPr="009E45AA">
        <w:t>produkcji lub wprowadzania do obrotu treści pornograficznych</w:t>
      </w:r>
      <w:r>
        <w:t>;</w:t>
      </w:r>
    </w:p>
    <w:p w14:paraId="58FBBE40" w14:textId="26463CEE" w:rsidR="002F15EF" w:rsidRPr="009E45AA" w:rsidRDefault="00F74036" w:rsidP="00A32ECA">
      <w:pPr>
        <w:pStyle w:val="PKTpunkt"/>
      </w:pPr>
      <w:r>
        <w:t>4</w:t>
      </w:r>
      <w:r w:rsidR="007C64C8">
        <w:t>)</w:t>
      </w:r>
      <w:r w:rsidR="00244D32" w:rsidRPr="009E45AA">
        <w:tab/>
      </w:r>
      <w:r w:rsidR="002F15EF" w:rsidRPr="009E45AA">
        <w:t>obrotu materiałami wybuchowymi, bronią i amunicją</w:t>
      </w:r>
      <w:r>
        <w:t>;</w:t>
      </w:r>
    </w:p>
    <w:p w14:paraId="39954CDA" w14:textId="0F1C3388" w:rsidR="00B23A1A" w:rsidRDefault="00F74036" w:rsidP="00A32ECA">
      <w:pPr>
        <w:pStyle w:val="PKTpunkt"/>
      </w:pPr>
      <w:r>
        <w:t>5</w:t>
      </w:r>
      <w:r w:rsidR="007C64C8">
        <w:t>)</w:t>
      </w:r>
      <w:r w:rsidR="00244D32" w:rsidRPr="009E45AA">
        <w:tab/>
      </w:r>
      <w:r w:rsidR="002F15EF" w:rsidRPr="009E45AA">
        <w:t>gier losowych, zakładów wzajemnych, gier na automatach i g</w:t>
      </w:r>
      <w:r w:rsidR="007C64C8">
        <w:t>ier na automatach o</w:t>
      </w:r>
      <w:r w:rsidR="00983B9F">
        <w:t xml:space="preserve"> </w:t>
      </w:r>
      <w:r w:rsidR="002F15EF" w:rsidRPr="009E45AA">
        <w:t>niskich wygranych</w:t>
      </w:r>
      <w:r>
        <w:t>;</w:t>
      </w:r>
    </w:p>
    <w:p w14:paraId="4CBE7B96" w14:textId="5F302809" w:rsidR="002F15EF" w:rsidRPr="009E45AA" w:rsidRDefault="00F74036" w:rsidP="00A32ECA">
      <w:pPr>
        <w:pStyle w:val="PKTpunkt"/>
      </w:pPr>
      <w:r>
        <w:t>6</w:t>
      </w:r>
      <w:r w:rsidR="00B23A1A">
        <w:t>)</w:t>
      </w:r>
      <w:r w:rsidR="00B23A1A">
        <w:tab/>
      </w:r>
      <w:r w:rsidR="00B23A1A" w:rsidRPr="00B23A1A">
        <w:t xml:space="preserve">produkcji lub wprowadzania do obrotu środków odurzających, substancji </w:t>
      </w:r>
      <w:r w:rsidR="00B23A1A">
        <w:t>psychotropowych lub prekursorów</w:t>
      </w:r>
      <w:r w:rsidR="00B23A1A" w:rsidRPr="00B23A1A">
        <w:t>.</w:t>
      </w:r>
    </w:p>
    <w:p w14:paraId="42980E45" w14:textId="302CB93F" w:rsidR="006D372F" w:rsidRPr="009E45AA" w:rsidRDefault="002F15EF" w:rsidP="00244D32">
      <w:pPr>
        <w:pStyle w:val="USTustnpkodeksu"/>
      </w:pPr>
      <w:r w:rsidRPr="009E45AA">
        <w:t xml:space="preserve">2. </w:t>
      </w:r>
      <w:r w:rsidR="00941EE2">
        <w:t xml:space="preserve">Pomocy nie udziela się ani nie wypłaca </w:t>
      </w:r>
      <w:r w:rsidRPr="009E45AA">
        <w:t>przedsiębiorcy,</w:t>
      </w:r>
      <w:r w:rsidR="00F74036">
        <w:t xml:space="preserve"> </w:t>
      </w:r>
      <w:r w:rsidRPr="009E45AA">
        <w:t>na którym ciąży obowiązek zwrotu pomocy</w:t>
      </w:r>
      <w:r w:rsidR="00244D32" w:rsidRPr="009E45AA">
        <w:t xml:space="preserve"> </w:t>
      </w:r>
      <w:r w:rsidRPr="009E45AA">
        <w:t>publicznej</w:t>
      </w:r>
      <w:r w:rsidR="00983B9F">
        <w:t xml:space="preserve"> wynikający z </w:t>
      </w:r>
      <w:r w:rsidRPr="009E45AA">
        <w:t>decyzji Komisji Europejskiej uznającej taką pomoc za niezgodną z prawem oraz rynkiem wewnętrznym.</w:t>
      </w:r>
    </w:p>
    <w:p w14:paraId="238DF923" w14:textId="5D058030" w:rsidR="00245361" w:rsidRDefault="00245361" w:rsidP="00245361">
      <w:pPr>
        <w:pStyle w:val="ARTartustawynprozporzdzenia"/>
      </w:pPr>
      <w:r w:rsidRPr="007C64C8">
        <w:rPr>
          <w:rStyle w:val="Ppogrubienie"/>
        </w:rPr>
        <w:t xml:space="preserve">§ </w:t>
      </w:r>
      <w:r w:rsidR="004D3E1A">
        <w:rPr>
          <w:rStyle w:val="Ppogrubienie"/>
        </w:rPr>
        <w:t>7</w:t>
      </w:r>
      <w:r w:rsidRPr="007C64C8">
        <w:t xml:space="preserve">. 1. Pomoc podlega kumulacji </w:t>
      </w:r>
      <w:r>
        <w:t xml:space="preserve">na zasadach określonych </w:t>
      </w:r>
      <w:r w:rsidRPr="005E430D">
        <w:t>w art. 5 rozporządzenia Komisji (UE) nr 1407/2013</w:t>
      </w:r>
      <w:r>
        <w:t xml:space="preserve"> i art. 8 rozporządzenia Komisji (UE) nr 651/2014.</w:t>
      </w:r>
    </w:p>
    <w:p w14:paraId="189B8B9C" w14:textId="447DF572" w:rsidR="00245361" w:rsidRDefault="00245361" w:rsidP="00245361">
      <w:pPr>
        <w:pStyle w:val="USTustnpkodeksu"/>
      </w:pPr>
      <w:r>
        <w:t xml:space="preserve">2. Równowartość </w:t>
      </w:r>
      <w:r w:rsidR="00941EE2">
        <w:t xml:space="preserve">udzielonej pomocy </w:t>
      </w:r>
      <w:r>
        <w:t>oblicza się według średniego kursu euro ogłoszonego przez Narodowy Bank Polski w dniu udzielenia pomocy</w:t>
      </w:r>
      <w:r w:rsidR="00445A0F">
        <w:t xml:space="preserve">, przez który rozumie </w:t>
      </w:r>
      <w:r w:rsidR="008B64CE">
        <w:t xml:space="preserve">się </w:t>
      </w:r>
      <w:r w:rsidR="00445A0F" w:rsidRPr="00445A0F">
        <w:t xml:space="preserve">dzień </w:t>
      </w:r>
      <w:r w:rsidR="00050803">
        <w:t>zawarcia</w:t>
      </w:r>
      <w:r w:rsidR="00445A0F" w:rsidRPr="00445A0F">
        <w:t xml:space="preserve"> umowy o dofinansowanie projektu</w:t>
      </w:r>
      <w:r>
        <w:t>.</w:t>
      </w:r>
    </w:p>
    <w:p w14:paraId="6338209D" w14:textId="104E76A5" w:rsidR="003710CD" w:rsidRDefault="003710CD" w:rsidP="003710CD">
      <w:pPr>
        <w:pStyle w:val="ARTartustawynprozporzdzenia"/>
      </w:pPr>
      <w:r w:rsidRPr="003710CD">
        <w:rPr>
          <w:rStyle w:val="Ppogrubienie"/>
        </w:rPr>
        <w:t xml:space="preserve">§ </w:t>
      </w:r>
      <w:r w:rsidR="004D3E1A">
        <w:rPr>
          <w:rStyle w:val="Ppogrubienie"/>
        </w:rPr>
        <w:t>8</w:t>
      </w:r>
      <w:r>
        <w:t xml:space="preserve">. 1. Wydatkami kwalifikującymi się do objęcia </w:t>
      </w:r>
      <w:r w:rsidR="00741ECA">
        <w:t>pomocą</w:t>
      </w:r>
      <w:r>
        <w:t xml:space="preserve"> są wydatki poniesione po dniu złożenia wniosku do dnia określonego w umowie o dofinansowanie</w:t>
      </w:r>
      <w:r w:rsidR="00327E23">
        <w:t xml:space="preserve"> projektu</w:t>
      </w:r>
      <w:r w:rsidR="009B2F89">
        <w:t>,</w:t>
      </w:r>
      <w:r w:rsidR="009B2F89" w:rsidRPr="009B2F89">
        <w:t xml:space="preserve"> chyba że wydatki poniesione</w:t>
      </w:r>
      <w:r w:rsidR="009B2F89">
        <w:t xml:space="preserve"> </w:t>
      </w:r>
      <w:r w:rsidR="009B2F89" w:rsidRPr="009B2F89">
        <w:t>przed dniem złożenia wniosku zost</w:t>
      </w:r>
      <w:r w:rsidR="009B2F89">
        <w:t xml:space="preserve">ały poniesione na działania </w:t>
      </w:r>
      <w:r w:rsidR="008E157F" w:rsidRPr="008E157F">
        <w:t>niestanowiące</w:t>
      </w:r>
      <w:r w:rsidR="009B2F89" w:rsidRPr="009B2F89">
        <w:t xml:space="preserve"> rozpoczęcia prac</w:t>
      </w:r>
      <w:r w:rsidR="00CB472C">
        <w:t xml:space="preserve"> w rozumieniu art. 2 pkt 23 rozporządzenia Komisji (UE) nr 651/2014</w:t>
      </w:r>
      <w:r w:rsidR="009B2F89">
        <w:t>.</w:t>
      </w:r>
      <w:r w:rsidR="00CB472C" w:rsidRPr="00CB472C">
        <w:t xml:space="preserve"> </w:t>
      </w:r>
    </w:p>
    <w:p w14:paraId="7B480571" w14:textId="1ECA1D27" w:rsidR="003710CD" w:rsidRDefault="003710CD" w:rsidP="003710CD">
      <w:pPr>
        <w:pStyle w:val="USTustnpkodeksu"/>
      </w:pPr>
      <w:r w:rsidRPr="003710CD">
        <w:t>2. Wydatki</w:t>
      </w:r>
      <w:r w:rsidR="009A2E23">
        <w:t xml:space="preserve"> kwalifikujące się</w:t>
      </w:r>
      <w:r w:rsidR="00987583">
        <w:t xml:space="preserve"> do objęcia pomocą, o której mowa w</w:t>
      </w:r>
      <w:r w:rsidRPr="003710CD">
        <w:t xml:space="preserve"> </w:t>
      </w:r>
      <w:r w:rsidR="00590CBD">
        <w:t>§ 4</w:t>
      </w:r>
      <w:r w:rsidR="00D260A8">
        <w:t xml:space="preserve"> </w:t>
      </w:r>
      <w:r w:rsidRPr="00590CBD">
        <w:t xml:space="preserve">pkt 1 </w:t>
      </w:r>
      <w:r w:rsidR="00590CBD" w:rsidRPr="00590CBD">
        <w:t>oraz pkt 4</w:t>
      </w:r>
      <w:r w:rsidR="00A85A9F">
        <w:t>,</w:t>
      </w:r>
      <w:r w:rsidR="00590CBD" w:rsidRPr="00590CBD">
        <w:t xml:space="preserve"> </w:t>
      </w:r>
      <w:r w:rsidRPr="003710CD">
        <w:t>mogą być ponoszone przed dniem złożenia wniosku.</w:t>
      </w:r>
    </w:p>
    <w:p w14:paraId="1EEAF969" w14:textId="408B9E88" w:rsidR="00AB7CAA" w:rsidRDefault="00AB7CAA" w:rsidP="00DE7278">
      <w:pPr>
        <w:pStyle w:val="USTustnpkodeksu"/>
      </w:pPr>
      <w:r>
        <w:rPr>
          <w:rStyle w:val="Ppogrubienie"/>
          <w:b w:val="0"/>
        </w:rPr>
        <w:lastRenderedPageBreak/>
        <w:t>3</w:t>
      </w:r>
      <w:r w:rsidRPr="00AB660C">
        <w:rPr>
          <w:rStyle w:val="Ppogrubienie"/>
          <w:b w:val="0"/>
        </w:rPr>
        <w:t>. Cenę nabycia wartości niematerialnych i prawnych oraz ś</w:t>
      </w:r>
      <w:r>
        <w:rPr>
          <w:rStyle w:val="Ppogrubienie"/>
          <w:b w:val="0"/>
        </w:rPr>
        <w:t>rodków trwałych,</w:t>
      </w:r>
      <w:r w:rsidRPr="00C556B6">
        <w:t xml:space="preserve"> </w:t>
      </w:r>
      <w:r w:rsidRPr="00C556B6">
        <w:rPr>
          <w:rStyle w:val="Ppogrubienie"/>
          <w:b w:val="0"/>
        </w:rPr>
        <w:t xml:space="preserve">o których mowa </w:t>
      </w:r>
      <w:r>
        <w:rPr>
          <w:rStyle w:val="Ppogrubienie"/>
          <w:b w:val="0"/>
        </w:rPr>
        <w:t xml:space="preserve">odpowiednio </w:t>
      </w:r>
      <w:r w:rsidRPr="00A632EA">
        <w:rPr>
          <w:rStyle w:val="Ppogrubienie"/>
          <w:b w:val="0"/>
        </w:rPr>
        <w:t xml:space="preserve">w art. 3 ust. 1 pkt 14 </w:t>
      </w:r>
      <w:r>
        <w:rPr>
          <w:rStyle w:val="Ppogrubienie"/>
          <w:b w:val="0"/>
        </w:rPr>
        <w:t xml:space="preserve">oraz </w:t>
      </w:r>
      <w:r w:rsidRPr="00C556B6">
        <w:rPr>
          <w:rStyle w:val="Ppogrubienie"/>
          <w:b w:val="0"/>
        </w:rPr>
        <w:t>w art. 3 ust. 1 pkt 15 ustawy z dnia 29 września 1994 r. o rachunkowości (Dz. U. z 2023 r. poz. 120, 295 i 1598)</w:t>
      </w:r>
      <w:r>
        <w:rPr>
          <w:rStyle w:val="Ppogrubienie"/>
          <w:b w:val="0"/>
        </w:rPr>
        <w:t xml:space="preserve"> </w:t>
      </w:r>
      <w:r w:rsidRPr="00AB660C">
        <w:rPr>
          <w:rStyle w:val="Ppogrubienie"/>
          <w:b w:val="0"/>
        </w:rPr>
        <w:t>ustala</w:t>
      </w:r>
      <w:r>
        <w:rPr>
          <w:rStyle w:val="Ppogrubienie"/>
          <w:b w:val="0"/>
        </w:rPr>
        <w:t xml:space="preserve"> </w:t>
      </w:r>
      <w:r w:rsidRPr="00AB660C">
        <w:rPr>
          <w:rStyle w:val="Ppogrubienie"/>
          <w:b w:val="0"/>
        </w:rPr>
        <w:t xml:space="preserve">się zgodnie </w:t>
      </w:r>
      <w:r>
        <w:rPr>
          <w:rStyle w:val="Ppogrubienie"/>
          <w:b w:val="0"/>
        </w:rPr>
        <w:t>z przepisami tej ustawy.</w:t>
      </w:r>
    </w:p>
    <w:p w14:paraId="1505BB29" w14:textId="652B97C9" w:rsidR="00F642D4" w:rsidRDefault="00F642D4" w:rsidP="00F642D4">
      <w:pPr>
        <w:pStyle w:val="ARTartustawynprozporzdzenia"/>
      </w:pPr>
      <w:r w:rsidRPr="00F642D4">
        <w:rPr>
          <w:rStyle w:val="Ppogrubienie"/>
        </w:rPr>
        <w:t xml:space="preserve">§ </w:t>
      </w:r>
      <w:r w:rsidR="004D3E1A">
        <w:rPr>
          <w:rStyle w:val="Ppogrubienie"/>
        </w:rPr>
        <w:t>9</w:t>
      </w:r>
      <w:r>
        <w:t xml:space="preserve">. Wydatki kwalifikujące się do objęcia </w:t>
      </w:r>
      <w:r w:rsidR="00741ECA">
        <w:t>pomocą</w:t>
      </w:r>
      <w:r>
        <w:t xml:space="preserve"> poniesione w walucie obcej:</w:t>
      </w:r>
    </w:p>
    <w:p w14:paraId="17E9D828" w14:textId="77777777" w:rsidR="00F642D4" w:rsidRDefault="007C64C8" w:rsidP="00F642D4">
      <w:pPr>
        <w:pStyle w:val="PKTpunkt"/>
      </w:pPr>
      <w:r>
        <w:t>1)</w:t>
      </w:r>
      <w:r w:rsidR="00F642D4">
        <w:tab/>
        <w:t>z rachunku bankowego beneficjenta prowadzonego w walucie polskiej przelicza się na walutę polską po kursie sprzedaży zastosowanym przez bank dokonujący płatności w dniu jej dokonania;</w:t>
      </w:r>
    </w:p>
    <w:p w14:paraId="01163C38" w14:textId="4BE6478B" w:rsidR="00F642D4" w:rsidRDefault="007C64C8" w:rsidP="00F642D4">
      <w:pPr>
        <w:pStyle w:val="PKTpunkt"/>
      </w:pPr>
      <w:r>
        <w:t>2)</w:t>
      </w:r>
      <w:r w:rsidR="00F642D4">
        <w:tab/>
        <w:t>posiadanej przez beneficjenta przelicza się na walutę polską według średniego kursu euro ogłoszonego przez Narodowy Bank Polski w dniu dokonania płatności przez instytucję</w:t>
      </w:r>
      <w:r w:rsidR="008E157F">
        <w:t>, z </w:t>
      </w:r>
      <w:r w:rsidR="001116A4" w:rsidRPr="001116A4">
        <w:t>którą beneficjent zawarł umowę o dofinansowanie projektu</w:t>
      </w:r>
      <w:r w:rsidR="00A17757">
        <w:t>,</w:t>
      </w:r>
      <w:r w:rsidR="001116A4" w:rsidRPr="001116A4">
        <w:t xml:space="preserve"> </w:t>
      </w:r>
      <w:r w:rsidR="00F642D4">
        <w:t>na rzecz beneficjenta.</w:t>
      </w:r>
    </w:p>
    <w:p w14:paraId="4D10E0F9" w14:textId="084CBFEC" w:rsidR="00425595" w:rsidRPr="002A549D" w:rsidRDefault="00425595" w:rsidP="00425595">
      <w:pPr>
        <w:pStyle w:val="ARTartustawynprozporzdzenia"/>
      </w:pPr>
      <w:bookmarkStart w:id="6" w:name="_Hlk146190369"/>
      <w:r w:rsidRPr="002A549D">
        <w:rPr>
          <w:rStyle w:val="Ppogrubienie"/>
        </w:rPr>
        <w:t xml:space="preserve">§ </w:t>
      </w:r>
      <w:bookmarkEnd w:id="6"/>
      <w:r w:rsidR="004D3E1A">
        <w:rPr>
          <w:rStyle w:val="Ppogrubienie"/>
        </w:rPr>
        <w:t>10</w:t>
      </w:r>
      <w:r w:rsidRPr="002A549D">
        <w:rPr>
          <w:rStyle w:val="Ppogrubienie"/>
        </w:rPr>
        <w:t>.</w:t>
      </w:r>
      <w:r w:rsidRPr="002A549D">
        <w:t xml:space="preserve"> 1. Maksymalna kwota </w:t>
      </w:r>
      <w:r w:rsidR="00C17FEF">
        <w:t>pomocy</w:t>
      </w:r>
      <w:r w:rsidR="00535491">
        <w:t>, o której mowa w</w:t>
      </w:r>
      <w:r w:rsidR="00A17757">
        <w:t xml:space="preserve"> </w:t>
      </w:r>
      <w:r w:rsidRPr="002A549D">
        <w:t xml:space="preserve">§ 4 </w:t>
      </w:r>
      <w:r w:rsidR="00D548DC">
        <w:t>pkt 1</w:t>
      </w:r>
      <w:r w:rsidR="00F76C55">
        <w:t>,</w:t>
      </w:r>
      <w:r w:rsidR="00D548DC">
        <w:t xml:space="preserve"> </w:t>
      </w:r>
      <w:r w:rsidR="00D548DC" w:rsidRPr="00D548DC">
        <w:t xml:space="preserve">nie przekracza 79,71% wydatków kwalifikujących się do objęcia </w:t>
      </w:r>
      <w:r w:rsidR="00A17757">
        <w:t>pomocą</w:t>
      </w:r>
      <w:r w:rsidR="00D548DC">
        <w:t>.</w:t>
      </w:r>
    </w:p>
    <w:p w14:paraId="50BA1957" w14:textId="0DBFB089" w:rsidR="00DB4E28" w:rsidRDefault="008B64CE" w:rsidP="00DB4E28">
      <w:pPr>
        <w:pStyle w:val="USTustnpkodeksu"/>
      </w:pPr>
      <w:r>
        <w:t>2</w:t>
      </w:r>
      <w:r w:rsidR="00425595" w:rsidRPr="00CC0647">
        <w:t>. W przypadku</w:t>
      </w:r>
      <w:r w:rsidR="000C011A">
        <w:t>,</w:t>
      </w:r>
      <w:r w:rsidR="00425595" w:rsidRPr="00CC0647">
        <w:t xml:space="preserve"> gdy</w:t>
      </w:r>
      <w:r w:rsidR="00D260A8">
        <w:t xml:space="preserve"> </w:t>
      </w:r>
      <w:r w:rsidR="00050803">
        <w:t xml:space="preserve">regionalna pomoc inwestycyjna, </w:t>
      </w:r>
      <w:r w:rsidR="00D260A8">
        <w:t>o </w:t>
      </w:r>
      <w:r w:rsidR="00994B5C">
        <w:t xml:space="preserve">której mowa w </w:t>
      </w:r>
      <w:r w:rsidR="00994B5C" w:rsidRPr="00CC0647">
        <w:t>§ 4 pkt 2</w:t>
      </w:r>
      <w:r w:rsidR="00994B5C">
        <w:t>,</w:t>
      </w:r>
      <w:r w:rsidR="00425595" w:rsidRPr="00CC0647">
        <w:t xml:space="preserve"> dotyczy projektu realizowanego w kilku lokalizacjach objętych różną intensywnością </w:t>
      </w:r>
      <w:r w:rsidR="00050803">
        <w:t>pomocy w</w:t>
      </w:r>
      <w:r w:rsidR="00B255C1">
        <w:t> </w:t>
      </w:r>
      <w:r w:rsidR="00050803">
        <w:t>rozumieniu</w:t>
      </w:r>
      <w:r w:rsidR="00050803" w:rsidRPr="00050803">
        <w:t xml:space="preserve"> art. 2 pkt 26 rozporządzenia Komisji (UE) nr 651/2014</w:t>
      </w:r>
      <w:r w:rsidR="00050803">
        <w:t xml:space="preserve">, </w:t>
      </w:r>
      <w:r w:rsidR="00425595" w:rsidRPr="00CC0647">
        <w:t xml:space="preserve">maksymalną dopuszczalną intensywnością </w:t>
      </w:r>
      <w:r w:rsidR="00050803">
        <w:t xml:space="preserve">pomocy </w:t>
      </w:r>
      <w:r w:rsidR="00425595" w:rsidRPr="00CC0647">
        <w:t>w części dotyczącej wydatków na inwestycję początkową</w:t>
      </w:r>
      <w:r w:rsidR="002B2C6A">
        <w:t xml:space="preserve">, </w:t>
      </w:r>
      <w:r w:rsidR="002B2C6A" w:rsidRPr="002B2C6A">
        <w:t>o której mowa w art. 2 pkt 49 rozporządzenia Komisji (UE) nr 651/2014</w:t>
      </w:r>
      <w:r w:rsidR="002B2C6A">
        <w:t>,</w:t>
      </w:r>
      <w:r w:rsidR="00425595" w:rsidRPr="00CC0647">
        <w:t xml:space="preserve"> jest pułap określony dla tej lokalizacji projektu, w której intensywność </w:t>
      </w:r>
      <w:r w:rsidR="00050803">
        <w:t>pomocy</w:t>
      </w:r>
      <w:r w:rsidR="00050803" w:rsidRPr="00CC0647">
        <w:t xml:space="preserve"> </w:t>
      </w:r>
      <w:r w:rsidR="00425595" w:rsidRPr="00CC0647">
        <w:t>jest najniższa.</w:t>
      </w:r>
    </w:p>
    <w:p w14:paraId="097C7C14" w14:textId="046DDE5C" w:rsidR="00CB77ED" w:rsidRPr="00245A02" w:rsidRDefault="00CB77ED" w:rsidP="00CB77ED">
      <w:pPr>
        <w:pStyle w:val="USTustnpkodeksu"/>
        <w:rPr>
          <w:rStyle w:val="Ppogrubienie"/>
          <w:b w:val="0"/>
        </w:rPr>
      </w:pPr>
      <w:r w:rsidRPr="00245A02">
        <w:rPr>
          <w:rStyle w:val="Ppogrubienie"/>
        </w:rPr>
        <w:t xml:space="preserve">§ </w:t>
      </w:r>
      <w:r w:rsidR="004D3E1A">
        <w:rPr>
          <w:rStyle w:val="Ppogrubienie"/>
        </w:rPr>
        <w:t>11</w:t>
      </w:r>
      <w:r w:rsidRPr="00245A02">
        <w:rPr>
          <w:rStyle w:val="Ppogrubienie"/>
          <w:b w:val="0"/>
        </w:rPr>
        <w:t>. Pomoc, o której mowa w § 4:</w:t>
      </w:r>
    </w:p>
    <w:p w14:paraId="07B0C869" w14:textId="7D08A1D6" w:rsidR="00CB77ED" w:rsidRPr="00245A02" w:rsidRDefault="007C64C8" w:rsidP="00CB77ED">
      <w:pPr>
        <w:pStyle w:val="PKTpunkt"/>
        <w:rPr>
          <w:rStyle w:val="Ppogrubienie"/>
          <w:b w:val="0"/>
        </w:rPr>
      </w:pPr>
      <w:r>
        <w:rPr>
          <w:rStyle w:val="Ppogrubienie"/>
          <w:b w:val="0"/>
        </w:rPr>
        <w:t>1)</w:t>
      </w:r>
      <w:r w:rsidR="00CB77ED" w:rsidRPr="00245A02">
        <w:rPr>
          <w:rStyle w:val="Ppogrubienie"/>
          <w:b w:val="0"/>
        </w:rPr>
        <w:tab/>
        <w:t>pkt 1</w:t>
      </w:r>
      <w:r w:rsidR="00766516">
        <w:rPr>
          <w:rStyle w:val="Ppogrubienie"/>
          <w:b w:val="0"/>
        </w:rPr>
        <w:t>,</w:t>
      </w:r>
      <w:r w:rsidR="00CB77ED" w:rsidRPr="00245A02">
        <w:rPr>
          <w:rStyle w:val="Ppogrubienie"/>
          <w:b w:val="0"/>
        </w:rPr>
        <w:t xml:space="preserve"> jest udzielana do końca okresu dostosowawczego, o którym mowa w art. 7 ust. 4 </w:t>
      </w:r>
      <w:r w:rsidR="00F55A3B" w:rsidRPr="00F55A3B">
        <w:rPr>
          <w:rStyle w:val="Ppogrubienie"/>
          <w:b w:val="0"/>
        </w:rPr>
        <w:t>w</w:t>
      </w:r>
      <w:r w:rsidR="00B255C1">
        <w:rPr>
          <w:rStyle w:val="Ppogrubienie"/>
          <w:b w:val="0"/>
        </w:rPr>
        <w:t> </w:t>
      </w:r>
      <w:r w:rsidR="00F55A3B" w:rsidRPr="00F55A3B">
        <w:rPr>
          <w:rStyle w:val="Ppogrubienie"/>
          <w:b w:val="0"/>
        </w:rPr>
        <w:t>związku z art. 8</w:t>
      </w:r>
      <w:r w:rsidR="00F55A3B">
        <w:rPr>
          <w:rStyle w:val="Ppogrubienie"/>
          <w:b w:val="0"/>
        </w:rPr>
        <w:t xml:space="preserve"> </w:t>
      </w:r>
      <w:r w:rsidR="00CB77ED" w:rsidRPr="00245A02">
        <w:rPr>
          <w:rStyle w:val="Ppogrubienie"/>
          <w:b w:val="0"/>
        </w:rPr>
        <w:t>rozporządzenia Komisji (UE) nr 1407/2013;</w:t>
      </w:r>
    </w:p>
    <w:p w14:paraId="73A9F1F2" w14:textId="542CD212" w:rsidR="00210192" w:rsidRPr="00CB77ED" w:rsidRDefault="008A50CE" w:rsidP="00CB77ED">
      <w:pPr>
        <w:pStyle w:val="PKTpunkt"/>
        <w:rPr>
          <w:rStyle w:val="Ppogrubienie"/>
          <w:b w:val="0"/>
        </w:rPr>
      </w:pPr>
      <w:r>
        <w:rPr>
          <w:rStyle w:val="Ppogrubienie"/>
          <w:b w:val="0"/>
        </w:rPr>
        <w:t>2</w:t>
      </w:r>
      <w:r w:rsidR="007C64C8">
        <w:rPr>
          <w:rStyle w:val="Ppogrubienie"/>
          <w:b w:val="0"/>
        </w:rPr>
        <w:t>)</w:t>
      </w:r>
      <w:r w:rsidR="00CB77ED" w:rsidRPr="00245A02">
        <w:rPr>
          <w:rStyle w:val="Ppogrubienie"/>
          <w:b w:val="0"/>
        </w:rPr>
        <w:tab/>
        <w:t xml:space="preserve">pkt </w:t>
      </w:r>
      <w:r w:rsidR="003D53D6">
        <w:rPr>
          <w:rStyle w:val="Ppogrubienie"/>
          <w:b w:val="0"/>
        </w:rPr>
        <w:t>2</w:t>
      </w:r>
      <w:r w:rsidR="003D53D6" w:rsidRPr="003D53D6">
        <w:rPr>
          <w:rStyle w:val="Ppogrubienie"/>
          <w:b w:val="0"/>
        </w:rPr>
        <w:t>‒</w:t>
      </w:r>
      <w:r w:rsidR="00DB4E28" w:rsidRPr="00245A02">
        <w:rPr>
          <w:rStyle w:val="Ppogrubienie"/>
          <w:b w:val="0"/>
        </w:rPr>
        <w:t>4</w:t>
      </w:r>
      <w:r w:rsidR="00CB77ED" w:rsidRPr="00245A02">
        <w:rPr>
          <w:rStyle w:val="Ppogrubienie"/>
          <w:b w:val="0"/>
        </w:rPr>
        <w:t>, jest udzielana do końca okresu dostosowawczego, o którym mowa w art. 58 ust.</w:t>
      </w:r>
      <w:r w:rsidR="00B255C1">
        <w:rPr>
          <w:rStyle w:val="Ppogrubienie"/>
          <w:b w:val="0"/>
        </w:rPr>
        <w:t> </w:t>
      </w:r>
      <w:r w:rsidR="00CB77ED" w:rsidRPr="00245A02">
        <w:rPr>
          <w:rStyle w:val="Ppogrubienie"/>
          <w:b w:val="0"/>
        </w:rPr>
        <w:t xml:space="preserve">4 </w:t>
      </w:r>
      <w:r w:rsidR="00B23626">
        <w:rPr>
          <w:rStyle w:val="Ppogrubienie"/>
          <w:b w:val="0"/>
        </w:rPr>
        <w:t xml:space="preserve">zdanie pierwsze </w:t>
      </w:r>
      <w:r w:rsidR="00F55A3B">
        <w:rPr>
          <w:rStyle w:val="Ppogrubienie"/>
          <w:b w:val="0"/>
        </w:rPr>
        <w:t xml:space="preserve">w związku z art. 59 </w:t>
      </w:r>
      <w:r w:rsidR="00CB77ED" w:rsidRPr="00245A02">
        <w:rPr>
          <w:rStyle w:val="Ppogrubienie"/>
          <w:b w:val="0"/>
        </w:rPr>
        <w:t>rozporządzenia Komisji (UE) nr 651/2014.</w:t>
      </w:r>
    </w:p>
    <w:p w14:paraId="7E4BBEDB" w14:textId="5A579C9B" w:rsidR="00766516" w:rsidRDefault="005E0E7C" w:rsidP="007F148E">
      <w:pPr>
        <w:pStyle w:val="ARTartustawynprozporzdzenia"/>
        <w:ind w:firstLine="170"/>
      </w:pPr>
      <w:r w:rsidRPr="005E0E7C">
        <w:rPr>
          <w:rStyle w:val="Ppogrubienie"/>
        </w:rPr>
        <w:t xml:space="preserve">§ </w:t>
      </w:r>
      <w:r w:rsidR="004D3E1A">
        <w:rPr>
          <w:rStyle w:val="Ppogrubienie"/>
        </w:rPr>
        <w:t>12</w:t>
      </w:r>
      <w:r w:rsidRPr="005E0E7C">
        <w:t>. Rozporządzenie wchodzi w życie z dniem następującym po dniu ogłoszenia.</w:t>
      </w:r>
    </w:p>
    <w:p w14:paraId="234660C1" w14:textId="324B919B" w:rsidR="00766516" w:rsidRPr="007F148E" w:rsidRDefault="00766516" w:rsidP="007F148E">
      <w:pPr>
        <w:keepNext/>
        <w:widowControl/>
        <w:suppressAutoHyphens/>
        <w:autoSpaceDE/>
        <w:autoSpaceDN/>
        <w:adjustRightInd/>
        <w:spacing w:before="480" w:after="120"/>
        <w:ind w:left="4820"/>
        <w:jc w:val="center"/>
        <w:rPr>
          <w:rFonts w:ascii="Times" w:eastAsia="Times New Roman" w:hAnsi="Times" w:cs="Times New Roman"/>
          <w:b/>
          <w:bCs/>
          <w:caps/>
          <w:kern w:val="24"/>
          <w:szCs w:val="24"/>
        </w:rPr>
      </w:pPr>
      <w:r w:rsidRPr="00766516">
        <w:rPr>
          <w:rFonts w:ascii="Times" w:eastAsia="Times New Roman" w:hAnsi="Times" w:cs="Times New Roman"/>
          <w:b/>
          <w:bCs/>
          <w:caps/>
          <w:kern w:val="24"/>
          <w:szCs w:val="24"/>
        </w:rPr>
        <w:t>Minister cyfryzacji</w:t>
      </w:r>
    </w:p>
    <w:p w14:paraId="1A6F4BC6" w14:textId="77777777" w:rsidR="00766516" w:rsidRPr="00766516" w:rsidRDefault="00766516" w:rsidP="007F148E">
      <w:pPr>
        <w:spacing w:before="480" w:line="240" w:lineRule="auto"/>
        <w:rPr>
          <w:sz w:val="20"/>
        </w:rPr>
      </w:pPr>
      <w:r w:rsidRPr="00766516">
        <w:rPr>
          <w:sz w:val="20"/>
        </w:rPr>
        <w:t>ZA ZGODNOŚĆ POD WZGLĘDEM PRAWNYM,</w:t>
      </w:r>
    </w:p>
    <w:p w14:paraId="3ABAA6DF" w14:textId="77777777" w:rsidR="00766516" w:rsidRPr="00766516" w:rsidRDefault="00766516" w:rsidP="00766516">
      <w:pPr>
        <w:spacing w:line="240" w:lineRule="auto"/>
        <w:rPr>
          <w:sz w:val="20"/>
        </w:rPr>
      </w:pPr>
      <w:r w:rsidRPr="00766516">
        <w:rPr>
          <w:sz w:val="20"/>
        </w:rPr>
        <w:t>LEGISLACYJNYM I REDAKCYJNYM</w:t>
      </w:r>
    </w:p>
    <w:p w14:paraId="25A09ED7" w14:textId="291CDF1E" w:rsidR="00766516" w:rsidRPr="00766516" w:rsidRDefault="00CB4C11" w:rsidP="00766516">
      <w:pPr>
        <w:spacing w:line="240" w:lineRule="auto"/>
        <w:rPr>
          <w:sz w:val="20"/>
        </w:rPr>
      </w:pPr>
      <w:r>
        <w:rPr>
          <w:sz w:val="20"/>
        </w:rPr>
        <w:t>Anna Markowska</w:t>
      </w:r>
    </w:p>
    <w:p w14:paraId="1DFA722D" w14:textId="264B2932" w:rsidR="00766516" w:rsidRPr="00766516" w:rsidRDefault="00CB4C11" w:rsidP="00766516">
      <w:pPr>
        <w:spacing w:line="240" w:lineRule="auto"/>
        <w:rPr>
          <w:sz w:val="20"/>
        </w:rPr>
      </w:pPr>
      <w:r>
        <w:rPr>
          <w:sz w:val="20"/>
        </w:rPr>
        <w:t xml:space="preserve">Zastępca </w:t>
      </w:r>
      <w:r w:rsidR="00766516" w:rsidRPr="00766516">
        <w:rPr>
          <w:sz w:val="20"/>
        </w:rPr>
        <w:t>Dyrektor</w:t>
      </w:r>
      <w:r>
        <w:rPr>
          <w:sz w:val="20"/>
        </w:rPr>
        <w:t>a</w:t>
      </w:r>
      <w:r w:rsidR="00766516" w:rsidRPr="00766516">
        <w:rPr>
          <w:sz w:val="20"/>
        </w:rPr>
        <w:t xml:space="preserve"> Departamentu Prawnego</w:t>
      </w:r>
    </w:p>
    <w:p w14:paraId="3F965B64" w14:textId="240BF134" w:rsidR="00261A16" w:rsidRDefault="00766516" w:rsidP="000C011A">
      <w:pPr>
        <w:spacing w:line="240" w:lineRule="auto"/>
        <w:rPr>
          <w:sz w:val="20"/>
        </w:rPr>
      </w:pPr>
      <w:r w:rsidRPr="00766516">
        <w:rPr>
          <w:sz w:val="20"/>
        </w:rPr>
        <w:t>w Ministerstwie Cyfryzacji</w:t>
      </w:r>
    </w:p>
    <w:p w14:paraId="5543EBCF" w14:textId="77777777" w:rsidR="00E40149" w:rsidRDefault="00E40149" w:rsidP="000C011A">
      <w:pPr>
        <w:spacing w:line="240" w:lineRule="auto"/>
        <w:rPr>
          <w:sz w:val="20"/>
        </w:rPr>
      </w:pPr>
    </w:p>
    <w:p w14:paraId="29BA4D66" w14:textId="77777777" w:rsidR="00E40149" w:rsidRDefault="00E40149" w:rsidP="000C011A">
      <w:pPr>
        <w:spacing w:line="240" w:lineRule="auto"/>
        <w:rPr>
          <w:sz w:val="20"/>
        </w:rPr>
      </w:pPr>
    </w:p>
    <w:p w14:paraId="628E30E8" w14:textId="77777777" w:rsidR="00E40149" w:rsidRPr="00E572BF" w:rsidRDefault="00E40149" w:rsidP="00E40149">
      <w:pPr>
        <w:pStyle w:val="TYTUAKTUprzedmiotregulacjiustawylubrozporzdzenia"/>
        <w:rPr>
          <w:rStyle w:val="Ppogrubienie"/>
          <w:rFonts w:ascii="Times New Roman" w:hAnsi="Times New Roman"/>
          <w:b/>
        </w:rPr>
      </w:pPr>
      <w:r w:rsidRPr="00E572BF">
        <w:rPr>
          <w:rStyle w:val="Ppogrubienie"/>
          <w:rFonts w:ascii="Times New Roman" w:hAnsi="Times New Roman"/>
          <w:b/>
        </w:rPr>
        <w:t>UZASADNIENIE</w:t>
      </w:r>
    </w:p>
    <w:p w14:paraId="03F731F1" w14:textId="77777777" w:rsidR="00E40149" w:rsidRPr="00E572BF" w:rsidRDefault="00E40149" w:rsidP="00E40149">
      <w:pPr>
        <w:pStyle w:val="NIEARTTEKSTtekstnieartykuowanynppodstprawnarozplubpreambua"/>
        <w:rPr>
          <w:rStyle w:val="Ppogrubienie"/>
        </w:rPr>
      </w:pPr>
      <w:r>
        <w:rPr>
          <w:rStyle w:val="Ppogrubienie"/>
        </w:rPr>
        <w:t>I</w:t>
      </w:r>
      <w:r w:rsidRPr="00E572BF">
        <w:rPr>
          <w:rStyle w:val="Ppogrubienie"/>
        </w:rPr>
        <w:t>. Cel oraz zakres projektowanego rozporządzenia</w:t>
      </w:r>
    </w:p>
    <w:p w14:paraId="3D438F1E" w14:textId="77777777" w:rsidR="00E40149" w:rsidRPr="00E572BF" w:rsidRDefault="00E40149" w:rsidP="00E40149">
      <w:pPr>
        <w:pStyle w:val="NIEARTTEKSTtekstnieartykuowanynppodstprawnarozplubpreambua"/>
      </w:pPr>
      <w:r w:rsidRPr="00E572BF">
        <w:t>W 2022 r. przyjęty został program Fundusze Europejskie na Rozwój Cyfrowy 2021–2027 (dalej również jako: FERC lub program). FERC stanowi kontynuację Programu Operacyjnego Polska Cyfrowa na lata 2014–2020 i zapewnia ramy dla kolejnego etapu cyfrowej transformacji kraju. W programie zaprojektowane zostało m.in. działanie 2.3: Cyfrowa dostępność i ponowne wykorzystanie informacji (dalej jako: działanie 2.3), które przewiduje interwencję w dwóch obszarach:</w:t>
      </w:r>
    </w:p>
    <w:p w14:paraId="63D63DF3" w14:textId="77777777" w:rsidR="00E40149" w:rsidRPr="00E572BF" w:rsidRDefault="00E40149" w:rsidP="00E40149">
      <w:pPr>
        <w:pStyle w:val="NIEARTTEKSTtekstnieartykuowanynppodstprawnarozplubpreambua"/>
      </w:pPr>
      <w:r>
        <w:t xml:space="preserve">1. </w:t>
      </w:r>
      <w:r w:rsidRPr="00E572BF">
        <w:t>Cyfrowa dostępność informacji sektora publicznego</w:t>
      </w:r>
    </w:p>
    <w:p w14:paraId="2D137B21" w14:textId="77777777" w:rsidR="00E40149" w:rsidRPr="00E572BF" w:rsidRDefault="00E40149" w:rsidP="00E40149">
      <w:pPr>
        <w:pStyle w:val="NIEARTTEKSTtekstnieartykuowanynppodstprawnarozplubpreambua"/>
      </w:pPr>
      <w:r w:rsidRPr="00E572BF">
        <w:t>Celem jest zwiększenie ilości i jakości informacji sektora publicznego dostępnych do ponownego wykorzystania, w szczególności danych o wysokiej wartości i danych dynamicznych. Program zakłada działania zwiększające otwartość i poziom ponownego wykorzystania danych z zasobów kultury (w tym niebędących informacjami sektora publicznego), nauki i administracji. Wsparcie będzie udzielane także na budowę lub modernizację i udostępnianie rozwiązań informatycznych do prowadzenia zaawansowanej analityki danych z wykorzystaniem nowych technologii</w:t>
      </w:r>
      <w:r>
        <w:t>.</w:t>
      </w:r>
    </w:p>
    <w:p w14:paraId="5F677162" w14:textId="77777777" w:rsidR="00E40149" w:rsidRPr="00E572BF" w:rsidRDefault="00E40149" w:rsidP="00E40149">
      <w:pPr>
        <w:pStyle w:val="NIEARTTEKSTtekstnieartykuowanynppodstprawnarozplubpreambua"/>
      </w:pPr>
      <w:r>
        <w:t xml:space="preserve">2. </w:t>
      </w:r>
      <w:r w:rsidRPr="00E572BF">
        <w:t>Cyfrowa dostępność i ponowne wykorzystanie informacji przez przedsiębiorstwa.</w:t>
      </w:r>
    </w:p>
    <w:p w14:paraId="1E75B8FC" w14:textId="77777777" w:rsidR="00E40149" w:rsidRPr="00E572BF" w:rsidRDefault="00E40149" w:rsidP="00E40149">
      <w:pPr>
        <w:pStyle w:val="NIEARTTEKSTtekstnieartykuowanynppodstprawnarozplubpreambua"/>
      </w:pPr>
      <w:r w:rsidRPr="00E572BF">
        <w:t>W tym przypadku przewiduje się wsparcie projektów, których celem będzie zapewnienie dostępu do danych, w tym danych dynamicznych za pośrednictwem interfejsów programistycznych aplikacji (API), wykorzystywanie danych i analityki biznesowej w przedsiębiorstwach oraz wsparcie wzajemnego dzielenia się danymi przez przedsiębiorstwa, w tym opracowanie standardów współpracy w zakresie organizacyjnym, technicznym i prawnym.</w:t>
      </w:r>
    </w:p>
    <w:p w14:paraId="2546631B" w14:textId="77777777" w:rsidR="00E40149" w:rsidRPr="00E572BF" w:rsidRDefault="00E40149" w:rsidP="00E40149">
      <w:pPr>
        <w:pStyle w:val="NIEARTTEKSTtekstnieartykuowanynppodstprawnarozplubpreambua"/>
      </w:pPr>
      <w:r w:rsidRPr="00E572BF">
        <w:t>Działanie 2.3 przewiduje udzielanie wsparcia na realizację projektów, których celem jest szeroko rozumiane zwiększenie dostępności oraz wymiany danych w gospodarce. W tym kontekście działanie odwołuje się do regulacji z obszaru otwierania i ponownego wykorzystywania danych oraz zarzadzania danymi, tj.:</w:t>
      </w:r>
    </w:p>
    <w:p w14:paraId="17260D96" w14:textId="77777777" w:rsidR="00E40149" w:rsidRDefault="00E40149" w:rsidP="00E40149">
      <w:pPr>
        <w:pStyle w:val="NIEARTTEKSTtekstnieartykuowanynppodstprawnarozplubpreambua"/>
        <w:numPr>
          <w:ilvl w:val="0"/>
          <w:numId w:val="25"/>
        </w:numPr>
        <w:ind w:left="709"/>
      </w:pPr>
      <w:r w:rsidRPr="00E572BF">
        <w:t>dyrektywy Parlamentu Europejskiego i Rady (UE) 2</w:t>
      </w:r>
      <w:r>
        <w:t>019/1024 z dnia 20 czerwca 2019 </w:t>
      </w:r>
      <w:r w:rsidRPr="00E572BF">
        <w:t>r. w sprawie otwartych danych i ponownego wykorzystywania informacji sektora publicznego (Dz. Urz. UE L 172 z 26.06.2019, str. 56) (na poziomie krajowym dyrektywę wdraża ustawa z dnia 11 sierpnia 2021 r. o otwartych danych i ponownym wykorzystywaniu informacji sektora publicznego, Dz. U. z 2023 r. poz. 1524)</w:t>
      </w:r>
      <w:r>
        <w:t>;</w:t>
      </w:r>
    </w:p>
    <w:p w14:paraId="0790E149" w14:textId="29E3E3D3" w:rsidR="00E40149" w:rsidRPr="00E572BF" w:rsidRDefault="00E40149" w:rsidP="00E40149">
      <w:pPr>
        <w:pStyle w:val="NIEARTTEKSTtekstnieartykuowanynppodstprawnarozplubpreambua"/>
        <w:numPr>
          <w:ilvl w:val="0"/>
          <w:numId w:val="25"/>
        </w:numPr>
        <w:ind w:left="709"/>
      </w:pPr>
      <w:r w:rsidRPr="00E572BF">
        <w:t>rozporządzenia Parlamentu Europejskiego i Rady (U</w:t>
      </w:r>
      <w:r>
        <w:t>E) 2022/868 z dnia 30 maja 2022 </w:t>
      </w:r>
      <w:r w:rsidRPr="00E572BF">
        <w:t>r. w sprawie europejskiego zarządzania danymi i zmieniającego rozporządzenie (UE) 2018/1724 (akt w sprawie zarządzania danymi) (Dz. Urz. UE L 152 z 03.06.2022, str. 1 oraz Dz. Urz. UE L 132 z 17.05.2023, str. 89).</w:t>
      </w:r>
    </w:p>
    <w:p w14:paraId="5C1F6D0F" w14:textId="77777777" w:rsidR="00E40149" w:rsidRPr="00E572BF" w:rsidRDefault="00E40149" w:rsidP="00E40149">
      <w:pPr>
        <w:pStyle w:val="NIEARTTEKSTtekstnieartykuowanynppodstprawnarozplubpreambua"/>
      </w:pPr>
      <w:r w:rsidRPr="00E572BF">
        <w:t>W istotnym zakresie działanie 2.3 stanowi również kontynuację poddziałań drugiej osi priorytetowej Programu Operacyjnego Polska Cyfrowa na lata 2014–2020: 2.3.1 Cyfrowe udostępnienie informacji sektora publicznego ze źródeł administracyjnych i zasobów nauki oraz 2.3.2 Cyfrowe udostępnienie zasobów kultury.</w:t>
      </w:r>
    </w:p>
    <w:p w14:paraId="3CA7B37D" w14:textId="77777777" w:rsidR="00E40149" w:rsidRPr="00E572BF" w:rsidRDefault="00E40149" w:rsidP="00E40149">
      <w:pPr>
        <w:pStyle w:val="NIEARTTEKSTtekstnieartykuowanynppodstprawnarozplubpreambua"/>
      </w:pPr>
      <w:r w:rsidRPr="00E572BF">
        <w:t xml:space="preserve">Wydatkowane w ramach programu środki mogą stanowić pomoc publiczną lub pomoc </w:t>
      </w:r>
      <w:r w:rsidRPr="00A844A5">
        <w:rPr>
          <w:i/>
        </w:rPr>
        <w:t>de minimis</w:t>
      </w:r>
      <w:r w:rsidRPr="00E572BF">
        <w:t xml:space="preserve">. Zgodnie z art. 30 ust. 1 ustawy z dnia 28 kwietnia 2022 r. o zasadach realizacji zadań finansowanych ze środków europejskich w perspektywie finansowej 2021–2027 (Dz. U. poz. 1079) w zakresie, w jakim w ramach programów (np. w ramach FERC) jest udzielana pomoc publiczna w rozumieniu art. 107 ust. 1 Traktatu o funkcjonowaniu Unii Europejskiej (Dz. Urz. UE C 326 z 26.10.2012, str. 47) lub pomoc </w:t>
      </w:r>
      <w:r w:rsidRPr="00A844A5">
        <w:rPr>
          <w:i/>
        </w:rPr>
        <w:t>de minimis</w:t>
      </w:r>
      <w:r w:rsidRPr="00E572BF">
        <w:t>, zastosowanie mają szczegółowe warunki i tryb udzielania takiej pomocy. W art. 30 ust. 4 wskazanej ustawy zawarto upoważnienie do wydania, przez właściwego ministra, przepisów wykonawczych określających szczegółowe przeznaczenie, warunki i tryb udzielania takiej pomocy, a także podmioty udzielające pomocy, przy uwzględnieniu konieczności zapewnienia zgodności pomocy z rynkiem wewnętrznym, efektywnego i skutecznego jej wykorzystania oraz przejrzystości jej udzielania.</w:t>
      </w:r>
    </w:p>
    <w:p w14:paraId="089D907D" w14:textId="77777777" w:rsidR="00E40149" w:rsidRPr="00E572BF" w:rsidRDefault="00E40149" w:rsidP="00E40149">
      <w:pPr>
        <w:pStyle w:val="NIEARTTEKSTtekstnieartykuowanynppodstprawnarozplubpreambua"/>
        <w:rPr>
          <w:rStyle w:val="Ppogrubienie"/>
          <w:b w:val="0"/>
        </w:rPr>
      </w:pPr>
      <w:r w:rsidRPr="00E572BF">
        <w:t xml:space="preserve">W odniesieniu do działania 2.3 brak jest obecnie przepisów wykonawczych regulujących szczegółowe przeznaczenie, warunki oraz tryb udzielania pomocy publicznej i pomocy </w:t>
      </w:r>
      <w:r w:rsidRPr="00936348">
        <w:rPr>
          <w:i/>
        </w:rPr>
        <w:t>de minimis</w:t>
      </w:r>
      <w:r w:rsidRPr="00E572BF">
        <w:t xml:space="preserve"> w ramach środków wydatkowanych w obszarze działania 2.3. Konieczne jest w</w:t>
      </w:r>
      <w:r>
        <w:t> </w:t>
      </w:r>
      <w:r w:rsidRPr="00E572BF">
        <w:t>związku z tym wydanie odpowiedniego aktu normatywnego – nowego rozporządzenia.</w:t>
      </w:r>
    </w:p>
    <w:p w14:paraId="1FBCC93A" w14:textId="77777777" w:rsidR="00E40149" w:rsidRPr="00E572BF" w:rsidRDefault="00E40149" w:rsidP="00E40149">
      <w:pPr>
        <w:pStyle w:val="NIEARTTEKSTtekstnieartykuowanynppodstprawnarozplubpreambua"/>
      </w:pPr>
      <w:r w:rsidRPr="00E572BF">
        <w:t>Podstawą do wydania projektowanego rozporządzenia jest art. 30 ust. 4 ustawy z dnia 28</w:t>
      </w:r>
      <w:r>
        <w:t> </w:t>
      </w:r>
      <w:r w:rsidRPr="00E572BF">
        <w:t>kwietnia 2022 r. o zasadach realizacji zadań finansowanych ze środków europejskich w</w:t>
      </w:r>
      <w:r>
        <w:t> </w:t>
      </w:r>
      <w:r w:rsidRPr="00E572BF">
        <w:t xml:space="preserve">perspektywie finansowej 2021–2027. W projekcie zawarte zostały przepisy regulujące szczegółowe przeznaczenie, warunki oraz tryb udzielania przez Centrum Projektów Polska Cyfrowa pomocy publicznej i pomocy </w:t>
      </w:r>
      <w:r w:rsidRPr="00936348">
        <w:rPr>
          <w:i/>
        </w:rPr>
        <w:t>de minimis</w:t>
      </w:r>
      <w:r w:rsidRPr="00E572BF">
        <w:t xml:space="preserve"> w ramach działania 2.3. Przepisy te są</w:t>
      </w:r>
      <w:r w:rsidRPr="00E572BF">
        <w:rPr>
          <w:rStyle w:val="Ppogrubienie"/>
          <w:b w:val="0"/>
        </w:rPr>
        <w:t xml:space="preserve"> </w:t>
      </w:r>
      <w:r w:rsidRPr="00E572BF">
        <w:t>niezbędne do legalizacji, w kontekście art. 107 i 108 Traktatu o funkcjonowaniu Unii Europejskiej, środków wydatkowanych w ramach tego działania.</w:t>
      </w:r>
    </w:p>
    <w:p w14:paraId="28808A4B" w14:textId="77777777" w:rsidR="00E40149" w:rsidRPr="00E572BF" w:rsidRDefault="00E40149" w:rsidP="00E40149">
      <w:pPr>
        <w:pStyle w:val="NIEARTTEKSTtekstnieartykuowanynppodstprawnarozplubpreambua"/>
      </w:pPr>
      <w:r w:rsidRPr="00E572BF">
        <w:t>Przy projektowaniu rozporządzenia wykorzystano istniejące ramy prawne UE dotyczące pomocy publicznej, tj.:</w:t>
      </w:r>
    </w:p>
    <w:p w14:paraId="66461904" w14:textId="77777777" w:rsidR="00E40149" w:rsidRPr="0027126C" w:rsidRDefault="00E40149" w:rsidP="00E40149">
      <w:pPr>
        <w:pStyle w:val="NIEARTTEKSTtekstnieartykuowanynppodstprawnarozplubpreambua"/>
        <w:rPr>
          <w:color w:val="000000"/>
        </w:rPr>
      </w:pPr>
      <w:r>
        <w:rPr>
          <w:color w:val="000000"/>
        </w:rPr>
        <w:t>1)</w:t>
      </w:r>
      <w:r>
        <w:rPr>
          <w:color w:val="000000"/>
        </w:rPr>
        <w:tab/>
      </w:r>
      <w:r w:rsidRPr="0027126C">
        <w:rPr>
          <w:color w:val="000000"/>
        </w:rPr>
        <w:t xml:space="preserve">rozporządzenie Komisji (UE) nr 1407/2013 z dnia 18 grudnia 2013 r. w sprawie stosowania art. 107 i 108 Traktatu o funkcjonowaniu Unii Europejskiej do pomocy </w:t>
      </w:r>
      <w:r w:rsidRPr="0027126C">
        <w:rPr>
          <w:rStyle w:val="Kkursywa"/>
        </w:rPr>
        <w:t>de minimis</w:t>
      </w:r>
      <w:r w:rsidRPr="0027126C">
        <w:rPr>
          <w:color w:val="000000"/>
        </w:rPr>
        <w:t xml:space="preserve"> (Dz. Urz. UE L 352 z 24.12.2013, str. 1, z późn. zm.)</w:t>
      </w:r>
      <w:r>
        <w:rPr>
          <w:color w:val="000000"/>
        </w:rPr>
        <w:t xml:space="preserve">, zwane </w:t>
      </w:r>
      <w:r w:rsidRPr="0027126C">
        <w:rPr>
          <w:color w:val="000000"/>
        </w:rPr>
        <w:t xml:space="preserve">dalej </w:t>
      </w:r>
      <w:r>
        <w:rPr>
          <w:color w:val="000000"/>
        </w:rPr>
        <w:t>„</w:t>
      </w:r>
      <w:r w:rsidRPr="0027126C">
        <w:t>rozporządzenie</w:t>
      </w:r>
      <w:r>
        <w:t>m</w:t>
      </w:r>
      <w:r w:rsidRPr="0027126C">
        <w:t xml:space="preserve"> Komisji (UE) nr 1407/2013</w:t>
      </w:r>
      <w:r>
        <w:t>”</w:t>
      </w:r>
      <w:r w:rsidRPr="0027126C">
        <w:t>;</w:t>
      </w:r>
    </w:p>
    <w:p w14:paraId="2A3A8A04" w14:textId="77777777" w:rsidR="00E40149" w:rsidRPr="0027126C" w:rsidRDefault="00E40149" w:rsidP="00E40149">
      <w:pPr>
        <w:pStyle w:val="NIEARTTEKSTtekstnieartykuowanynppodstprawnarozplubpreambua"/>
        <w:rPr>
          <w:color w:val="000000"/>
        </w:rPr>
      </w:pPr>
      <w:r>
        <w:rPr>
          <w:color w:val="000000"/>
        </w:rPr>
        <w:t>2)</w:t>
      </w:r>
      <w:r>
        <w:rPr>
          <w:color w:val="000000"/>
        </w:rPr>
        <w:tab/>
      </w:r>
      <w:r w:rsidRPr="0027126C">
        <w:rPr>
          <w:color w:val="000000"/>
        </w:rPr>
        <w:t>rozporządzenie Komisji (UE) nr 651/2014 z dnia 17 czerwca 2014 r. uznającego niektóre rodzaje pomocy za zgodne z rynkiem wewnętrznym w zastosowaniu art. 107 i 108 Traktatu (Dz. Urz. UE L 187 z 26.06.2014, str. 1, z późn. zm.)</w:t>
      </w:r>
      <w:r>
        <w:rPr>
          <w:color w:val="000000"/>
        </w:rPr>
        <w:t xml:space="preserve">, zwane </w:t>
      </w:r>
      <w:r w:rsidRPr="0027126C">
        <w:rPr>
          <w:color w:val="000000"/>
        </w:rPr>
        <w:t xml:space="preserve">dalej </w:t>
      </w:r>
      <w:r>
        <w:rPr>
          <w:color w:val="000000"/>
        </w:rPr>
        <w:t>„</w:t>
      </w:r>
      <w:r w:rsidRPr="0027126C">
        <w:rPr>
          <w:color w:val="000000"/>
        </w:rPr>
        <w:t>rozporządzenie</w:t>
      </w:r>
      <w:r>
        <w:rPr>
          <w:color w:val="000000"/>
        </w:rPr>
        <w:t>m</w:t>
      </w:r>
      <w:r w:rsidRPr="0027126C">
        <w:rPr>
          <w:color w:val="000000"/>
        </w:rPr>
        <w:t xml:space="preserve"> Komisji (UE) nr 651/2014</w:t>
      </w:r>
      <w:r>
        <w:rPr>
          <w:color w:val="000000"/>
        </w:rPr>
        <w:t>”.</w:t>
      </w:r>
      <w:r w:rsidRPr="0027126C">
        <w:rPr>
          <w:color w:val="000000"/>
        </w:rPr>
        <w:t>.</w:t>
      </w:r>
    </w:p>
    <w:p w14:paraId="22CD93F2" w14:textId="77777777" w:rsidR="00E40149" w:rsidRPr="00E572BF" w:rsidRDefault="00E40149" w:rsidP="00E40149">
      <w:pPr>
        <w:pStyle w:val="NIEARTTEKSTtekstnieartykuowanynppodstprawnarozplubpreambua"/>
        <w:rPr>
          <w:bCs w:val="0"/>
          <w:color w:val="000000"/>
        </w:rPr>
      </w:pPr>
      <w:r w:rsidRPr="00E572BF">
        <w:rPr>
          <w:bCs w:val="0"/>
          <w:color w:val="000000"/>
        </w:rPr>
        <w:t xml:space="preserve">Punktem odniesienia dla projektowanych rozwiązań były również przepisy rozporządzenia Ministra Administracji i Cyfryzacji z dnia 21 sierpnia 2015 r. sprawie udzielania pomocy publicznej i pomocy </w:t>
      </w:r>
      <w:r w:rsidRPr="00936348">
        <w:rPr>
          <w:bCs w:val="0"/>
          <w:i/>
          <w:color w:val="000000"/>
        </w:rPr>
        <w:t>de minimis</w:t>
      </w:r>
      <w:r w:rsidRPr="00E572BF">
        <w:rPr>
          <w:bCs w:val="0"/>
          <w:color w:val="000000"/>
        </w:rPr>
        <w:t xml:space="preserve"> na cyfrowe udostępnienie informacji sektora publicznego ze źródeł administracyjnych i zasobów nauki oraz cyfrowe udostępnienie zasobów kultury w ramach Programu Operacyjnego Polska Cyfrowa na lata 2014–2020 (Dz. U. poz. 1237).</w:t>
      </w:r>
    </w:p>
    <w:p w14:paraId="43B1723F" w14:textId="77777777" w:rsidR="00E40149" w:rsidRPr="00E572BF" w:rsidRDefault="00E40149" w:rsidP="00E40149">
      <w:pPr>
        <w:pStyle w:val="NIEARTTEKSTtekstnieartykuowanynppodstprawnarozplubpreambua"/>
        <w:rPr>
          <w:bCs w:val="0"/>
          <w:color w:val="000000"/>
        </w:rPr>
      </w:pPr>
      <w:r w:rsidRPr="00E572BF">
        <w:rPr>
          <w:bCs w:val="0"/>
          <w:color w:val="000000"/>
        </w:rPr>
        <w:t>Projektowane rozporządzenie jest wtórnym aktem prawnym w stosunku do programu Fundusze Europejskie na Rozwój Cyfrowy 2021</w:t>
      </w:r>
      <w:r w:rsidRPr="00E572BF">
        <w:rPr>
          <w:rFonts w:eastAsia="Calibri"/>
          <w:bCs w:val="0"/>
          <w:color w:val="000000"/>
          <w:lang w:eastAsia="en-US"/>
        </w:rPr>
        <w:t>–</w:t>
      </w:r>
      <w:r w:rsidRPr="00E572BF">
        <w:rPr>
          <w:bCs w:val="0"/>
          <w:color w:val="000000"/>
        </w:rPr>
        <w:t>2027 i dokumentów systemowych, w</w:t>
      </w:r>
      <w:r>
        <w:rPr>
          <w:bCs w:val="0"/>
          <w:color w:val="000000"/>
        </w:rPr>
        <w:t> </w:t>
      </w:r>
      <w:r w:rsidRPr="00E572BF">
        <w:rPr>
          <w:bCs w:val="0"/>
          <w:color w:val="000000"/>
        </w:rPr>
        <w:t>szczególności Szczegółowego Opisu Priorytetów Programu Fundusze Europejskie na Rozwój Cyfrowy 2021–2027. Wydanie projektowanych przepisów wykonawczych umożliwi wydatkowanie środków przewidzianych w ramach działania 2.3 w zgodzie z przepisami o</w:t>
      </w:r>
      <w:r>
        <w:rPr>
          <w:bCs w:val="0"/>
          <w:color w:val="000000"/>
        </w:rPr>
        <w:t> </w:t>
      </w:r>
      <w:r w:rsidRPr="00E572BF">
        <w:rPr>
          <w:bCs w:val="0"/>
          <w:color w:val="000000"/>
        </w:rPr>
        <w:t xml:space="preserve">pomocy publicznej i pomocy </w:t>
      </w:r>
      <w:r w:rsidRPr="00936348">
        <w:rPr>
          <w:bCs w:val="0"/>
          <w:i/>
          <w:color w:val="000000"/>
        </w:rPr>
        <w:t>de minimis</w:t>
      </w:r>
      <w:r w:rsidRPr="00E572BF">
        <w:rPr>
          <w:bCs w:val="0"/>
          <w:color w:val="000000"/>
        </w:rPr>
        <w:t>.</w:t>
      </w:r>
    </w:p>
    <w:p w14:paraId="0978B1BB" w14:textId="77777777" w:rsidR="00E40149" w:rsidRPr="00E572BF" w:rsidRDefault="00E40149" w:rsidP="00E40149">
      <w:pPr>
        <w:pStyle w:val="NIEARTTEKSTtekstnieartykuowanynppodstprawnarozplubpreambua"/>
        <w:rPr>
          <w:bCs w:val="0"/>
          <w:color w:val="000000"/>
        </w:rPr>
      </w:pPr>
      <w:r w:rsidRPr="00E572BF">
        <w:rPr>
          <w:bCs w:val="0"/>
          <w:color w:val="000000"/>
        </w:rPr>
        <w:t>W projekcie rozporządzenia przyjęto założenie, że niezależnie od tego, który ze wskazanych powyżej aktów prawa UE będzie podstawą prawną wydatkowania środków, zasadnicza część przepisów będzie wspólna. Jednocześnie zrezygnowano z powielania szczegółowych informacji wynikających z dokumentów systemowych, w szczególności Szczegółowego Opisu Priorytetów Programu Fundusze Europejskie na Rozwój Cyfrowy 2021–2027, które chociaż w aspekcie merytorycznym poszerzają informacje dotyczące udzielanej pomocy, to jednak mogą ulegać zmianom.</w:t>
      </w:r>
    </w:p>
    <w:p w14:paraId="76471A6A" w14:textId="77777777" w:rsidR="00E40149" w:rsidRPr="00D70282" w:rsidRDefault="00E40149" w:rsidP="00E40149">
      <w:pPr>
        <w:pStyle w:val="NIEARTTEKSTtekstnieartykuowanynppodstprawnarozplubpreambua"/>
        <w:rPr>
          <w:rStyle w:val="Ppogrubienie"/>
          <w:rFonts w:ascii="Times New Roman" w:hAnsi="Times New Roman" w:cs="Times New Roman"/>
          <w:szCs w:val="24"/>
        </w:rPr>
      </w:pPr>
      <w:r>
        <w:rPr>
          <w:rStyle w:val="Ppogrubienie"/>
          <w:rFonts w:ascii="Times New Roman" w:hAnsi="Times New Roman" w:cs="Times New Roman"/>
          <w:szCs w:val="24"/>
        </w:rPr>
        <w:t xml:space="preserve">II. </w:t>
      </w:r>
      <w:r w:rsidRPr="00D70282">
        <w:rPr>
          <w:rStyle w:val="Ppogrubienie"/>
          <w:rFonts w:ascii="Times New Roman" w:hAnsi="Times New Roman" w:cs="Times New Roman"/>
          <w:szCs w:val="24"/>
        </w:rPr>
        <w:t>Szczegółowe regulacje</w:t>
      </w:r>
    </w:p>
    <w:p w14:paraId="20CD394A" w14:textId="77777777" w:rsidR="00E40149" w:rsidRDefault="00E40149" w:rsidP="00E40149">
      <w:pPr>
        <w:pStyle w:val="NIEARTTEKSTtekstnieartykuowanynppodstprawnarozplubpreambua"/>
      </w:pPr>
      <w:r>
        <w:t xml:space="preserve">W § 1 projektu wskazano przedmiot rozporządzenia, które </w:t>
      </w:r>
      <w:r w:rsidRPr="00207A5B">
        <w:t xml:space="preserve">określa szczegółowe przeznaczenie, warunki oraz tryb udzielania pomocy publicznej i pomocy </w:t>
      </w:r>
      <w:r w:rsidRPr="00207A5B">
        <w:rPr>
          <w:i/>
        </w:rPr>
        <w:t>de minimis</w:t>
      </w:r>
      <w:r w:rsidRPr="00207A5B">
        <w:t xml:space="preserve"> </w:t>
      </w:r>
      <w:r>
        <w:t xml:space="preserve">(dalej: pomoc) </w:t>
      </w:r>
      <w:r w:rsidRPr="00207A5B">
        <w:t>w ramach działania 2.3</w:t>
      </w:r>
      <w:r>
        <w:t>.</w:t>
      </w:r>
    </w:p>
    <w:p w14:paraId="7C1B8B32" w14:textId="77777777" w:rsidR="00E40149" w:rsidRPr="00207A5B" w:rsidRDefault="00E40149" w:rsidP="00E40149">
      <w:pPr>
        <w:pStyle w:val="NIEARTTEKSTtekstnieartykuowanynppodstprawnarozplubpreambua"/>
      </w:pPr>
      <w:r>
        <w:t xml:space="preserve">W § 2 projektu wskazano, że pomoc będzie udzielana przez </w:t>
      </w:r>
      <w:r w:rsidRPr="004664D8">
        <w:t>Centrum Projektów Polska Cyfrowa</w:t>
      </w:r>
      <w:r w:rsidRPr="00207A5B">
        <w:rPr>
          <w:i/>
        </w:rPr>
        <w:t>.</w:t>
      </w:r>
    </w:p>
    <w:p w14:paraId="47B7E9A9" w14:textId="77777777" w:rsidR="00E40149" w:rsidRPr="00D76E2F" w:rsidRDefault="00E40149" w:rsidP="00E40149">
      <w:pPr>
        <w:pStyle w:val="NIEARTTEKSTtekstnieartykuowanynppodstprawnarozplubpreambua"/>
      </w:pPr>
      <w:r>
        <w:t>Zgodnie z § 3 projektu p</w:t>
      </w:r>
      <w:r w:rsidRPr="00207A5B">
        <w:t xml:space="preserve">omoc udzielana będzie </w:t>
      </w:r>
      <w:r w:rsidRPr="00D76E2F">
        <w:t>w formie bezzwrotnego wsparcia finansowego przeznaczonego na pokrycie wydatków kwalifikujących się do objęcia wsparciem w ramach działania 2.3.</w:t>
      </w:r>
    </w:p>
    <w:p w14:paraId="758BD2D4" w14:textId="77777777" w:rsidR="00E40149" w:rsidRDefault="00E40149" w:rsidP="00E40149">
      <w:pPr>
        <w:pStyle w:val="NIEARTTEKSTtekstnieartykuowanynppodstprawnarozplubpreambua"/>
      </w:pPr>
      <w:r w:rsidRPr="00F7480F">
        <w:t>W § 4 projektu wskazano</w:t>
      </w:r>
      <w:r>
        <w:t>,</w:t>
      </w:r>
      <w:r w:rsidRPr="00F7480F">
        <w:t xml:space="preserve"> w jakich formach będzie udzielan</w:t>
      </w:r>
      <w:r>
        <w:t>a</w:t>
      </w:r>
      <w:r w:rsidRPr="00F7480F">
        <w:t xml:space="preserve"> </w:t>
      </w:r>
      <w:r>
        <w:t>pomoc</w:t>
      </w:r>
      <w:r w:rsidRPr="00F7480F">
        <w:t>e. Będzie to:</w:t>
      </w:r>
    </w:p>
    <w:p w14:paraId="10241870" w14:textId="77777777" w:rsidR="00E40149" w:rsidRDefault="00E40149" w:rsidP="00C03316">
      <w:pPr>
        <w:pStyle w:val="NIEARTTEKSTtekstnieartykuowanynppodstprawnarozplubpreambua"/>
        <w:numPr>
          <w:ilvl w:val="0"/>
          <w:numId w:val="24"/>
        </w:numPr>
        <w:ind w:left="426" w:hanging="426"/>
      </w:pPr>
      <w:r>
        <w:t xml:space="preserve">pomoc </w:t>
      </w:r>
      <w:r w:rsidRPr="003F5CA1">
        <w:rPr>
          <w:i/>
        </w:rPr>
        <w:t>de minimis</w:t>
      </w:r>
      <w:r>
        <w:t xml:space="preserve"> udzielana </w:t>
      </w:r>
      <w:r w:rsidRPr="00D76E2F">
        <w:t xml:space="preserve">na zasadach określonych w </w:t>
      </w:r>
      <w:r>
        <w:t xml:space="preserve">rozporządzeniu </w:t>
      </w:r>
      <w:r w:rsidRPr="00196782">
        <w:t>(UE) nr 1407/2013</w:t>
      </w:r>
      <w:r>
        <w:t>,</w:t>
      </w:r>
    </w:p>
    <w:p w14:paraId="53CA3942" w14:textId="77777777" w:rsidR="00E40149" w:rsidRDefault="00E40149" w:rsidP="00C03316">
      <w:pPr>
        <w:pStyle w:val="NIEARTTEKSTtekstnieartykuowanynppodstprawnarozplubpreambua"/>
        <w:numPr>
          <w:ilvl w:val="0"/>
          <w:numId w:val="24"/>
        </w:numPr>
        <w:ind w:left="426" w:hanging="426"/>
      </w:pPr>
      <w:r>
        <w:t xml:space="preserve">regionalna pomoc inwestycyjna udzielana na zasadach określonych w </w:t>
      </w:r>
      <w:r w:rsidRPr="006F19D4">
        <w:t>przepisach rozdziału I oraz art. 13 i 14 rozporządzenia Komisji (UE) nr 651/2014</w:t>
      </w:r>
      <w:r>
        <w:t xml:space="preserve"> oraz </w:t>
      </w:r>
      <w:r w:rsidRPr="006F19D4">
        <w:t>przepisach wydanych na podstawie art. 10 ust. 2</w:t>
      </w:r>
      <w:r>
        <w:t xml:space="preserve"> ustawy z dnia 30 kwietnia 2004 </w:t>
      </w:r>
      <w:r w:rsidRPr="006F19D4">
        <w:t>r. o postępowaniu w sprawach dotyczących pomocy publicznej (Dz. U. z 2023 r. poz. 702)</w:t>
      </w:r>
      <w:r>
        <w:t>,</w:t>
      </w:r>
    </w:p>
    <w:p w14:paraId="10037824" w14:textId="77777777" w:rsidR="00E40149" w:rsidRDefault="00E40149" w:rsidP="00C03316">
      <w:pPr>
        <w:pStyle w:val="NIEARTTEKSTtekstnieartykuowanynppodstprawnarozplubpreambua"/>
        <w:numPr>
          <w:ilvl w:val="0"/>
          <w:numId w:val="24"/>
        </w:numPr>
        <w:ind w:left="426" w:hanging="426"/>
      </w:pPr>
      <w:r>
        <w:t>pomoc szkoleniowa udzielana na zasadach określonych w rozdz. I i art. 31 rozporządzenia Komisji (UE) nr 651/2014,</w:t>
      </w:r>
    </w:p>
    <w:p w14:paraId="7024A46A" w14:textId="77777777" w:rsidR="00E40149" w:rsidRPr="006F19D4" w:rsidRDefault="00E40149" w:rsidP="00C03316">
      <w:pPr>
        <w:pStyle w:val="NIEARTTEKSTtekstnieartykuowanynppodstprawnarozplubpreambua"/>
        <w:numPr>
          <w:ilvl w:val="0"/>
          <w:numId w:val="24"/>
        </w:numPr>
        <w:ind w:left="426" w:hanging="426"/>
      </w:pPr>
      <w:r>
        <w:t xml:space="preserve">pomoc na kulturę i zachowanie dziedzictwa kulturowego udzielana </w:t>
      </w:r>
      <w:r w:rsidRPr="002774FC">
        <w:t xml:space="preserve">na zasadach określonych </w:t>
      </w:r>
      <w:r>
        <w:t>w </w:t>
      </w:r>
      <w:r w:rsidRPr="00AF61BD">
        <w:t>rozdz</w:t>
      </w:r>
      <w:r>
        <w:t>iale</w:t>
      </w:r>
      <w:r w:rsidRPr="00AF61BD">
        <w:t xml:space="preserve"> I i art. 53 rozporządzenia </w:t>
      </w:r>
      <w:r>
        <w:t>Komisji (UE) nr 651/2014.</w:t>
      </w:r>
    </w:p>
    <w:p w14:paraId="48C45E35" w14:textId="5397D7FB" w:rsidR="00E40149" w:rsidRDefault="00E40149" w:rsidP="00E40149">
      <w:pPr>
        <w:pStyle w:val="NIEARTTEKSTtekstnieartykuowanynppodstprawnarozplubpreambua"/>
      </w:pPr>
      <w:r w:rsidRPr="00755D82">
        <w:t>W §</w:t>
      </w:r>
      <w:r>
        <w:t xml:space="preserve"> 5</w:t>
      </w:r>
      <w:r w:rsidRPr="00755D82">
        <w:t xml:space="preserve"> projekt</w:t>
      </w:r>
      <w:r>
        <w:t>u</w:t>
      </w:r>
      <w:r w:rsidRPr="00755D82">
        <w:t xml:space="preserve"> wskazano</w:t>
      </w:r>
      <w:r w:rsidR="00C03316">
        <w:t>,</w:t>
      </w:r>
      <w:r w:rsidRPr="00755D82">
        <w:t xml:space="preserve"> jakie podmioty będą mogły ubiegać się o </w:t>
      </w:r>
      <w:r>
        <w:t>pomoc w ramach działania 2.3</w:t>
      </w:r>
      <w:r w:rsidR="00C03316">
        <w:t>,</w:t>
      </w:r>
      <w:r>
        <w:t xml:space="preserve"> oraz jakie warunki podmioty te muszą spełniać.</w:t>
      </w:r>
    </w:p>
    <w:p w14:paraId="305F0014" w14:textId="77777777" w:rsidR="00E40149" w:rsidRDefault="00E40149" w:rsidP="00E40149">
      <w:pPr>
        <w:pStyle w:val="NIEARTTEKSTtekstnieartykuowanynppodstprawnarozplubpreambua"/>
      </w:pPr>
      <w:r>
        <w:t>W § 6 projektu określone zostały przypadki, w których pomoc nie będzie mogła zostać udzielona.</w:t>
      </w:r>
    </w:p>
    <w:p w14:paraId="4792DD86" w14:textId="77777777" w:rsidR="00E40149" w:rsidRDefault="00E40149" w:rsidP="00E40149">
      <w:pPr>
        <w:pStyle w:val="NIEARTTEKSTtekstnieartykuowanynppodstprawnarozplubpreambua"/>
      </w:pPr>
      <w:r>
        <w:t xml:space="preserve">W </w:t>
      </w:r>
      <w:r w:rsidRPr="00AC313C">
        <w:t xml:space="preserve">§ </w:t>
      </w:r>
      <w:r>
        <w:t>7 projektu uregulowano zasady kumulacji</w:t>
      </w:r>
      <w:r w:rsidRPr="00AC313C">
        <w:t xml:space="preserve"> pomocy z innymi rodzajami pomocy oraz sposób przeliczania</w:t>
      </w:r>
      <w:r>
        <w:t xml:space="preserve"> na polską walutę wysokości udzielonej pomocy.</w:t>
      </w:r>
    </w:p>
    <w:p w14:paraId="68494AD9" w14:textId="77777777" w:rsidR="00E40149" w:rsidRDefault="00E40149" w:rsidP="00E40149">
      <w:pPr>
        <w:pStyle w:val="NIEARTTEKSTtekstnieartykuowanynppodstprawnarozplubpreambua"/>
      </w:pPr>
      <w:r>
        <w:t xml:space="preserve">W § </w:t>
      </w:r>
      <w:r w:rsidRPr="006F19D4">
        <w:t>8 i 9</w:t>
      </w:r>
      <w:r>
        <w:t xml:space="preserve"> projektu zawarto przepisy regulujące zasady zaliczania wydatków jako wydatków kwalifikujących się do objęcia pomocą.</w:t>
      </w:r>
    </w:p>
    <w:p w14:paraId="5EC9599F" w14:textId="77777777" w:rsidR="00E40149" w:rsidRDefault="00E40149" w:rsidP="00E40149">
      <w:pPr>
        <w:pStyle w:val="NIEARTTEKSTtekstnieartykuowanynppodstprawnarozplubpreambua"/>
      </w:pPr>
      <w:r>
        <w:t xml:space="preserve">W § 10 projektu zawarto przepisy dotyczące maksymalnej kwoty pomocy w odniesieniu do pomocy </w:t>
      </w:r>
      <w:r>
        <w:rPr>
          <w:i/>
        </w:rPr>
        <w:t xml:space="preserve">de minimis </w:t>
      </w:r>
      <w:r w:rsidRPr="006F19D4">
        <w:t>oraz</w:t>
      </w:r>
      <w:r>
        <w:rPr>
          <w:i/>
        </w:rPr>
        <w:t xml:space="preserve"> </w:t>
      </w:r>
      <w:r w:rsidRPr="006F19D4">
        <w:t>przepisy dotyczące</w:t>
      </w:r>
      <w:r>
        <w:rPr>
          <w:i/>
        </w:rPr>
        <w:t xml:space="preserve"> </w:t>
      </w:r>
      <w:r w:rsidRPr="006F19D4">
        <w:t>maksym</w:t>
      </w:r>
      <w:r>
        <w:t xml:space="preserve">alnej dopuszczalnej intensywności pomocy w przypadku gdy </w:t>
      </w:r>
      <w:r w:rsidRPr="00092E32">
        <w:t>regionalna pomoc inwestycyjna</w:t>
      </w:r>
      <w:r>
        <w:t xml:space="preserve"> </w:t>
      </w:r>
      <w:r w:rsidRPr="00092E32">
        <w:t>dotyczy projektu realizowanego w</w:t>
      </w:r>
      <w:r>
        <w:t> </w:t>
      </w:r>
      <w:r w:rsidRPr="00092E32">
        <w:t>kilku lokalizacjach objętych różną intensywnością pomocy</w:t>
      </w:r>
      <w:r>
        <w:t>.</w:t>
      </w:r>
    </w:p>
    <w:p w14:paraId="6D800D17" w14:textId="77777777" w:rsidR="00E40149" w:rsidRDefault="00E40149" w:rsidP="00E40149">
      <w:pPr>
        <w:pStyle w:val="NIEARTTEKSTtekstnieartykuowanynppodstprawnarozplubpreambua"/>
      </w:pPr>
      <w:r>
        <w:t>W § 11 projektu wskazano terminy, do których może być udzielana pomoc w odniesieniu do poszczególnych form pomocy.</w:t>
      </w:r>
    </w:p>
    <w:p w14:paraId="64830D82" w14:textId="77777777" w:rsidR="00E40149" w:rsidRPr="00180150" w:rsidRDefault="00E40149" w:rsidP="00E40149">
      <w:pPr>
        <w:pStyle w:val="NIEARTTEKSTtekstnieartykuowanynppodstprawnarozplubpreambua"/>
      </w:pPr>
      <w:r>
        <w:t>W § 12 projektu wskazano termin wejścia w życie rozporządzenia. Ze względu na potrzebę szybkiego uruchomienia wdrażania działania 2.3 uzasadnionym pozostaje skorzystanie z możliwości skrócenia terminu wejścia w życie rozporządzenia, zgodnie z art. 4 ust. 2 ustawy z dnia 20 lipca 2000 r. o ogłaszaniu aktów normatywnych i niektórych innych aktów prawnych (Dz. U. z 2019 r. poz. 1461). Wejście w życie rozporządzenia w dniu następującym po dniu ogłoszenia nie narusza zasad demokratycznego państwa prawnego.</w:t>
      </w:r>
    </w:p>
    <w:p w14:paraId="12AA32A2" w14:textId="77777777" w:rsidR="00E40149" w:rsidRPr="00D70282" w:rsidRDefault="00E40149" w:rsidP="00E40149">
      <w:pPr>
        <w:pStyle w:val="NIEARTTEKSTtekstnieartykuowanynppodstprawnarozplubpreambua"/>
        <w:rPr>
          <w:rFonts w:ascii="Times New Roman" w:hAnsi="Times New Roman" w:cs="Times New Roman"/>
        </w:rPr>
      </w:pPr>
      <w:r>
        <w:rPr>
          <w:rStyle w:val="Ppogrubienie"/>
          <w:rFonts w:ascii="Times New Roman" w:hAnsi="Times New Roman" w:cs="Times New Roman"/>
          <w:szCs w:val="24"/>
        </w:rPr>
        <w:t xml:space="preserve">III. </w:t>
      </w:r>
      <w:r w:rsidRPr="00D70282">
        <w:rPr>
          <w:rStyle w:val="Ppogrubienie"/>
          <w:rFonts w:ascii="Times New Roman" w:hAnsi="Times New Roman" w:cs="Times New Roman"/>
          <w:szCs w:val="24"/>
        </w:rPr>
        <w:t>Pozostałe informacje</w:t>
      </w:r>
    </w:p>
    <w:p w14:paraId="266534BD" w14:textId="77777777" w:rsidR="00E40149" w:rsidRDefault="00E40149" w:rsidP="00E40149">
      <w:pPr>
        <w:pStyle w:val="NIEARTTEKSTtekstnieartykuowanynppodstprawnarozplubpreambua"/>
      </w:pPr>
      <w:r>
        <w:t>Projekt rozporządzenia jest zgodny z prawem Unii Europejskiej.</w:t>
      </w:r>
    </w:p>
    <w:p w14:paraId="13A4FFDE" w14:textId="77777777" w:rsidR="00E40149" w:rsidRDefault="00E40149" w:rsidP="00E40149">
      <w:pPr>
        <w:pStyle w:val="NIEARTTEKSTtekstnieartykuowanynppodstprawnarozplubpreambua"/>
      </w:pPr>
      <w:r>
        <w:t>Projektowana regulacja nie zawiera przepisów technicznych w rozumieniu rozporządzenia Rady Ministrów z dnia 23 grudnia 2002 r. w sprawie sposobu funkcjonowania krajowego systemu notyfikacji norm i aktów prawnych (Dz. U. poz. 2039 oraz z 2004 r. poz. 597) i nie podlega notyfikacji Komisji Europejskiej.</w:t>
      </w:r>
    </w:p>
    <w:p w14:paraId="3BF8ACE2" w14:textId="77777777" w:rsidR="00E40149" w:rsidRDefault="00E40149" w:rsidP="00E40149">
      <w:pPr>
        <w:pStyle w:val="NIEARTTEKSTtekstnieartykuowanynppodstprawnarozplubpreambua"/>
      </w:pPr>
      <w:r>
        <w:t>Projekt nie wymaga przedstawienia właściwym organom i instytucjom Unii Europejskiej, w tym Europejskiemu Bankowi Centralnemu, w celu uzyskania opinii, dokonania powiadomienia, konsultacji albo uzgodnienia.</w:t>
      </w:r>
    </w:p>
    <w:p w14:paraId="4E0D2DA5" w14:textId="77777777" w:rsidR="00E40149" w:rsidRDefault="00E40149" w:rsidP="00E40149">
      <w:pPr>
        <w:pStyle w:val="NIEARTTEKSTtekstnieartykuowanynppodstprawnarozplubpreambua"/>
      </w:pPr>
      <w:r>
        <w:t>Rozporządzenie podlega zaopiniowaniu przez Prezesa Urzędu Ochrony Konkurencji i Konsumentów w trybie art. 12 ust. 1 ustawy z dnia 30 kwietnia 2004 r. o postępowaniu w sprawach dotyczących pomocy publicznej (</w:t>
      </w:r>
      <w:r w:rsidRPr="00C90AB2">
        <w:t>Dz.</w:t>
      </w:r>
      <w:r>
        <w:t xml:space="preserve"> </w:t>
      </w:r>
      <w:r w:rsidRPr="00C90AB2">
        <w:t>U. z 2023 r. poz. 702)</w:t>
      </w:r>
      <w:r>
        <w:t>.</w:t>
      </w:r>
    </w:p>
    <w:p w14:paraId="6A9D0115" w14:textId="77777777" w:rsidR="00E40149" w:rsidRDefault="00E40149" w:rsidP="00E40149">
      <w:pPr>
        <w:pStyle w:val="NIEARTTEKSTtekstnieartykuowanynppodstprawnarozplubpreambua"/>
      </w:pPr>
      <w:r>
        <w:t>Projektowane rozporządzenie będzie mieć pozytywny wpływ na sytuację mikro, małych i średnich przedsiębiorców – z programu Fundusze Europejskie na Rozwój Cyfrowy 2021–2027 udzielane będzie wsparcie, którego beneficjentami będą przedsiębiorcy.</w:t>
      </w:r>
    </w:p>
    <w:p w14:paraId="469F3FD8" w14:textId="60243ABC" w:rsidR="00C03316" w:rsidRDefault="00E40149" w:rsidP="00E40149">
      <w:pPr>
        <w:pStyle w:val="NIEARTTEKSTtekstnieartykuowanynppodstprawnarozplubpreambua"/>
      </w:pPr>
      <w:r>
        <w:t xml:space="preserve">Stosownie do postanowień art. 5 ustawy z dnia 7 lipca 2005 r. o działalności lobbingowej w procesie stanowienia prawa (Dz. U. z 2017 r. poz. 248), projekt został udostępniony w Biuletynie Informacji Publicznej na stronie podmiotowej Ministra Cyfryzacji. </w:t>
      </w:r>
      <w:r w:rsidR="00C03316">
        <w:t xml:space="preserve">Żaden podmiot nie zgłosił zainteresowania projektem w trybie ww. ustawy. </w:t>
      </w:r>
    </w:p>
    <w:p w14:paraId="243F8348" w14:textId="60C37CFF" w:rsidR="00E40149" w:rsidRDefault="00E40149" w:rsidP="00E40149">
      <w:pPr>
        <w:pStyle w:val="NIEARTTEKSTtekstnieartykuowanynppodstprawnarozplubpreambua"/>
      </w:pPr>
      <w:r>
        <w:t>Ponadto, zgodnie z § 52 ust. 1 uchwały nr 190 Rady Ministrów z dnia 29 października 2013 r. – Regulamin pracy Rady Ministrów (M.P. z 2022 r. poz. 348), projekt został udostępniony w Biuletynie Informacji Publicznej na stronie podmiotowej Rządowego Centrum Legislacji, w serwisie Rządowy Proces Legislacyjny.</w:t>
      </w:r>
    </w:p>
    <w:p w14:paraId="339C3647" w14:textId="77777777" w:rsidR="00E40149" w:rsidRDefault="00E40149" w:rsidP="00E40149">
      <w:pPr>
        <w:pStyle w:val="NIEARTTEKSTtekstnieartykuowanynppodstprawnarozplubpreambua"/>
      </w:pPr>
      <w:r>
        <w:t>Jednocześnie należy wskazać, że nie ma możliwości podjęcia alternatywnych w stosunku do projektowanej regulacji środków umożliwiających osiągnięcie zamierzonego celu.</w:t>
      </w:r>
    </w:p>
    <w:p w14:paraId="0301FAD3" w14:textId="77777777" w:rsidR="00371623" w:rsidRPr="00371623" w:rsidRDefault="00371623" w:rsidP="00371623">
      <w:pPr>
        <w:pStyle w:val="ARTartustawynprozporzdzenia"/>
        <w:sectPr w:rsidR="00371623" w:rsidRPr="00371623" w:rsidSect="001A7F15">
          <w:headerReference w:type="default" r:id="rId9"/>
          <w:footnotePr>
            <w:numRestart w:val="eachSect"/>
          </w:footnotePr>
          <w:pgSz w:w="11906" w:h="16838"/>
          <w:pgMar w:top="1560" w:right="1434" w:bottom="1560" w:left="1418" w:header="709" w:footer="709" w:gutter="0"/>
          <w:cols w:space="708"/>
          <w:titlePg/>
          <w:docGrid w:linePitch="254"/>
        </w:sectPr>
      </w:pPr>
    </w:p>
    <w:tbl>
      <w:tblPr>
        <w:tblW w:w="10947" w:type="dxa"/>
        <w:tblInd w:w="-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6"/>
        <w:gridCol w:w="647"/>
        <w:gridCol w:w="425"/>
        <w:gridCol w:w="465"/>
        <w:gridCol w:w="414"/>
        <w:gridCol w:w="155"/>
        <w:gridCol w:w="187"/>
        <w:gridCol w:w="383"/>
        <w:gridCol w:w="554"/>
        <w:gridCol w:w="16"/>
        <w:gridCol w:w="118"/>
        <w:gridCol w:w="151"/>
        <w:gridCol w:w="300"/>
        <w:gridCol w:w="353"/>
        <w:gridCol w:w="217"/>
        <w:gridCol w:w="570"/>
        <w:gridCol w:w="80"/>
        <w:gridCol w:w="71"/>
        <w:gridCol w:w="419"/>
        <w:gridCol w:w="113"/>
        <w:gridCol w:w="405"/>
        <w:gridCol w:w="51"/>
        <w:gridCol w:w="266"/>
        <w:gridCol w:w="304"/>
        <w:gridCol w:w="317"/>
        <w:gridCol w:w="253"/>
        <w:gridCol w:w="570"/>
        <w:gridCol w:w="115"/>
        <w:gridCol w:w="1422"/>
        <w:gridCol w:w="10"/>
      </w:tblGrid>
      <w:tr w:rsidR="00371623" w:rsidRPr="00C403F4" w14:paraId="3DE6052E" w14:textId="77777777" w:rsidTr="00E40B69">
        <w:trPr>
          <w:gridAfter w:val="1"/>
          <w:wAfter w:w="10" w:type="dxa"/>
          <w:trHeight w:val="1611"/>
        </w:trPr>
        <w:tc>
          <w:tcPr>
            <w:tcW w:w="6631" w:type="dxa"/>
            <w:gridSpan w:val="17"/>
          </w:tcPr>
          <w:p w14:paraId="0D7A97EA" w14:textId="77777777" w:rsidR="00371623" w:rsidRPr="00C403F4" w:rsidRDefault="00371623" w:rsidP="004B075D">
            <w:pPr>
              <w:widowControl/>
              <w:autoSpaceDE/>
              <w:autoSpaceDN/>
              <w:adjustRightInd/>
              <w:spacing w:line="276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bookmarkStart w:id="7" w:name="t1"/>
            <w:r w:rsidRPr="00C403F4"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  <w:t>Nazwa projektu</w:t>
            </w:r>
          </w:p>
          <w:p w14:paraId="332296B8" w14:textId="77777777" w:rsidR="00371623" w:rsidRPr="00C403F4" w:rsidRDefault="00371623" w:rsidP="004B075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C403F4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Projekt rozporządzenia Ministra Cyfryzacji w sprawie udzielania pomocy publicznej i pomocy </w:t>
            </w:r>
            <w:r w:rsidRPr="00C403F4">
              <w:rPr>
                <w:rFonts w:eastAsia="Calibri" w:cs="Times New Roman"/>
                <w:i/>
                <w:color w:val="000000"/>
                <w:sz w:val="22"/>
                <w:szCs w:val="22"/>
                <w:lang w:eastAsia="en-US"/>
              </w:rPr>
              <w:t>de minimis</w:t>
            </w:r>
            <w:r w:rsidRPr="00C403F4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 na cyfrową dostępność i ponowne wykorzystanie informacji w ramach programu Fundusze Europejskie na Rozwój Cyfrowy 2021</w:t>
            </w:r>
            <w:r>
              <w:rPr>
                <w:rFonts w:cs="Times"/>
              </w:rPr>
              <w:t>‒</w:t>
            </w:r>
            <w:r w:rsidRPr="00C403F4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2027</w:t>
            </w:r>
          </w:p>
          <w:p w14:paraId="50FCD8D9" w14:textId="77777777" w:rsidR="00371623" w:rsidRPr="00C403F4" w:rsidRDefault="00371623" w:rsidP="004B075D">
            <w:pPr>
              <w:widowControl/>
              <w:autoSpaceDE/>
              <w:autoSpaceDN/>
              <w:adjustRightInd/>
              <w:spacing w:before="120" w:line="276" w:lineRule="auto"/>
              <w:ind w:left="45" w:hanging="45"/>
              <w:jc w:val="both"/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</w:pPr>
            <w:r w:rsidRPr="00C403F4"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  <w:t>Ministerstwo wiodące i ministerstwa współpracujące</w:t>
            </w:r>
          </w:p>
          <w:bookmarkEnd w:id="7"/>
          <w:p w14:paraId="0F17EC07" w14:textId="77777777" w:rsidR="00371623" w:rsidRDefault="00371623" w:rsidP="004B075D">
            <w:pPr>
              <w:widowControl/>
              <w:autoSpaceDE/>
              <w:autoSpaceDN/>
              <w:adjustRightInd/>
              <w:spacing w:line="276" w:lineRule="auto"/>
              <w:ind w:left="34" w:hanging="34"/>
              <w:jc w:val="both"/>
              <w:rPr>
                <w:rFonts w:eastAsia="Calibri" w:cs="Times New Roman"/>
                <w:sz w:val="22"/>
                <w:szCs w:val="22"/>
                <w:lang w:eastAsia="en-US"/>
              </w:rPr>
            </w:pPr>
            <w:r w:rsidRPr="00C403F4">
              <w:rPr>
                <w:rFonts w:eastAsia="Calibri" w:cs="Times New Roman"/>
                <w:sz w:val="22"/>
                <w:szCs w:val="22"/>
                <w:lang w:eastAsia="en-US"/>
              </w:rPr>
              <w:t xml:space="preserve">Ministerstwo </w:t>
            </w:r>
            <w:r w:rsidRPr="008562FE">
              <w:rPr>
                <w:rFonts w:eastAsia="Calibri" w:cs="Times New Roman"/>
                <w:sz w:val="22"/>
                <w:szCs w:val="22"/>
                <w:lang w:eastAsia="en-US"/>
              </w:rPr>
              <w:t>Cyfryzacji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 xml:space="preserve"> – ministerstwo wiodące</w:t>
            </w:r>
          </w:p>
          <w:p w14:paraId="23C6914D" w14:textId="77777777" w:rsidR="00371623" w:rsidRPr="008562FE" w:rsidRDefault="00371623" w:rsidP="004B075D">
            <w:pPr>
              <w:widowControl/>
              <w:autoSpaceDE/>
              <w:autoSpaceDN/>
              <w:adjustRightInd/>
              <w:spacing w:line="276" w:lineRule="auto"/>
              <w:ind w:left="34" w:hanging="34"/>
              <w:jc w:val="both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Ministerstwo Funduszy i Polityki Regionalnej – ministerstwo współpracujące</w:t>
            </w:r>
          </w:p>
          <w:p w14:paraId="13C0F8C3" w14:textId="77777777" w:rsidR="00371623" w:rsidRPr="00C403F4" w:rsidRDefault="00371623" w:rsidP="004B075D">
            <w:pPr>
              <w:widowControl/>
              <w:autoSpaceDE/>
              <w:autoSpaceDN/>
              <w:adjustRightInd/>
              <w:spacing w:before="120" w:line="276" w:lineRule="auto"/>
              <w:jc w:val="both"/>
              <w:rPr>
                <w:rFonts w:eastAsia="Calibri" w:cs="Times New Roman"/>
                <w:b/>
                <w:sz w:val="21"/>
                <w:szCs w:val="21"/>
                <w:lang w:eastAsia="en-US"/>
              </w:rPr>
            </w:pPr>
            <w:r w:rsidRPr="00C403F4">
              <w:rPr>
                <w:rFonts w:eastAsia="Calibri" w:cs="Times New Roman"/>
                <w:b/>
                <w:sz w:val="21"/>
                <w:szCs w:val="24"/>
                <w:lang w:eastAsia="en-US"/>
              </w:rPr>
              <w:t>Osoba odpowiedzialna za projekt w randze Ministra, Sekretarza Stanu lub Podsekretarza Stanu</w:t>
            </w:r>
          </w:p>
          <w:p w14:paraId="6D1416BF" w14:textId="77777777" w:rsidR="00371623" w:rsidRPr="00C403F4" w:rsidRDefault="00371623" w:rsidP="004B075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 w:val="21"/>
                <w:szCs w:val="21"/>
                <w:lang w:eastAsia="en-US"/>
              </w:rPr>
            </w:pPr>
            <w:r w:rsidRPr="00C403F4">
              <w:rPr>
                <w:rFonts w:eastAsia="Calibri" w:cs="Times New Roman"/>
                <w:sz w:val="21"/>
                <w:szCs w:val="21"/>
                <w:lang w:eastAsia="en-US"/>
              </w:rPr>
              <w:t>Sekretarz Stanu Adam Andruszkiewicz</w:t>
            </w:r>
          </w:p>
          <w:p w14:paraId="36B98949" w14:textId="77777777" w:rsidR="00371623" w:rsidRDefault="00371623" w:rsidP="004B075D">
            <w:pPr>
              <w:widowControl/>
              <w:autoSpaceDE/>
              <w:autoSpaceDN/>
              <w:adjustRightInd/>
              <w:spacing w:before="120" w:line="276" w:lineRule="auto"/>
              <w:jc w:val="both"/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</w:pPr>
            <w:r w:rsidRPr="00C403F4"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  <w:t>Kontakt do opiekuna merytorycznego projektu</w:t>
            </w:r>
          </w:p>
          <w:p w14:paraId="06D47E94" w14:textId="77777777" w:rsidR="00371623" w:rsidRPr="002803A5" w:rsidRDefault="00371623" w:rsidP="004B075D">
            <w:pPr>
              <w:widowControl/>
              <w:autoSpaceDE/>
              <w:autoSpaceDN/>
              <w:adjustRightInd/>
              <w:spacing w:before="120" w:line="276" w:lineRule="auto"/>
              <w:jc w:val="both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2803A5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Anna Gos, Dyrektor Departamentu Zarządzania Danymi, MC,</w:t>
            </w:r>
            <w:r>
              <w:t xml:space="preserve"> </w:t>
            </w:r>
            <w:hyperlink r:id="rId10" w:history="1">
              <w:r w:rsidRPr="00445529">
                <w:rPr>
                  <w:rStyle w:val="Hipercze"/>
                  <w:rFonts w:eastAsia="Calibri" w:cs="Times New Roman"/>
                  <w:sz w:val="22"/>
                  <w:szCs w:val="22"/>
                  <w:lang w:eastAsia="en-US"/>
                </w:rPr>
                <w:t>anna.gos@cyfra.gov.pl</w:t>
              </w:r>
            </w:hyperlink>
          </w:p>
          <w:p w14:paraId="2108AB11" w14:textId="77777777" w:rsidR="00371623" w:rsidRPr="00C403F4" w:rsidRDefault="00371623" w:rsidP="004B075D">
            <w:pPr>
              <w:widowControl/>
              <w:autoSpaceDE/>
              <w:autoSpaceDN/>
              <w:adjustRightInd/>
              <w:spacing w:before="120" w:line="276" w:lineRule="auto"/>
              <w:jc w:val="both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C403F4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Dominik Sybilski, Naczelnik Wydziału Regulacji Wykorzystywania i Wymiany Danych w Departamencie Zarządzania Danymi, MC, </w:t>
            </w:r>
            <w:hyperlink r:id="rId11" w:history="1">
              <w:r w:rsidRPr="00C403F4">
                <w:rPr>
                  <w:rStyle w:val="Hipercze"/>
                  <w:rFonts w:eastAsia="Calibri" w:cs="Times New Roman"/>
                  <w:sz w:val="22"/>
                  <w:szCs w:val="22"/>
                  <w:lang w:eastAsia="en-US"/>
                </w:rPr>
                <w:t>dominik.sybilski@cyfra.gov.pl</w:t>
              </w:r>
            </w:hyperlink>
          </w:p>
          <w:p w14:paraId="64976099" w14:textId="77777777" w:rsidR="00371623" w:rsidRPr="00C403F4" w:rsidRDefault="00371623" w:rsidP="004B075D">
            <w:pPr>
              <w:widowControl/>
              <w:autoSpaceDE/>
              <w:autoSpaceDN/>
              <w:adjustRightInd/>
              <w:spacing w:before="120" w:line="276" w:lineRule="auto"/>
              <w:jc w:val="both"/>
              <w:rPr>
                <w:rFonts w:eastAsia="Calibri" w:cs="Times New Roman"/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C403F4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Mikołaj Garstka, Radca w Wydziale Regulacji Wykorzystywania i Wymiany Danych w Departamencie Zarządzania Danymi, MC, </w:t>
            </w:r>
            <w:hyperlink r:id="rId12" w:history="1">
              <w:r w:rsidRPr="00C403F4">
                <w:rPr>
                  <w:rStyle w:val="Hipercze"/>
                  <w:rFonts w:eastAsia="Calibri" w:cs="Times New Roman"/>
                  <w:sz w:val="22"/>
                  <w:szCs w:val="22"/>
                  <w:lang w:eastAsia="en-US"/>
                </w:rPr>
                <w:t>mikolaj.garstka@cyfra.gov.pl</w:t>
              </w:r>
            </w:hyperlink>
          </w:p>
        </w:tc>
        <w:tc>
          <w:tcPr>
            <w:tcW w:w="4306" w:type="dxa"/>
            <w:gridSpan w:val="12"/>
            <w:shd w:val="clear" w:color="auto" w:fill="FFFFFF"/>
          </w:tcPr>
          <w:p w14:paraId="1E61BAFB" w14:textId="77777777" w:rsidR="00371623" w:rsidRPr="00C403F4" w:rsidRDefault="00371623" w:rsidP="004B075D">
            <w:pPr>
              <w:widowControl/>
              <w:autoSpaceDE/>
              <w:autoSpaceDN/>
              <w:adjustRightInd/>
              <w:spacing w:line="276" w:lineRule="auto"/>
              <w:rPr>
                <w:rFonts w:eastAsia="Calibri" w:cs="Times New Roman"/>
                <w:b/>
                <w:sz w:val="21"/>
                <w:szCs w:val="21"/>
                <w:lang w:eastAsia="en-US"/>
              </w:rPr>
            </w:pPr>
            <w:r w:rsidRPr="00C403F4">
              <w:rPr>
                <w:rFonts w:eastAsia="Calibri" w:cs="Times New Roman"/>
                <w:b/>
                <w:sz w:val="21"/>
                <w:szCs w:val="21"/>
                <w:lang w:eastAsia="en-US"/>
              </w:rPr>
              <w:t>Data sporządzenia</w:t>
            </w:r>
            <w:r w:rsidRPr="00C403F4">
              <w:rPr>
                <w:rFonts w:eastAsia="Calibri" w:cs="Times New Roman"/>
                <w:b/>
                <w:sz w:val="21"/>
                <w:szCs w:val="21"/>
                <w:lang w:eastAsia="en-US"/>
              </w:rPr>
              <w:br/>
            </w:r>
            <w:r w:rsidRPr="00755D82">
              <w:rPr>
                <w:rFonts w:eastAsia="Calibri" w:cs="Times New Roman"/>
                <w:sz w:val="21"/>
                <w:szCs w:val="21"/>
                <w:lang w:eastAsia="en-US"/>
              </w:rPr>
              <w:t>2023-</w:t>
            </w:r>
            <w:r>
              <w:rPr>
                <w:rFonts w:eastAsia="Calibri" w:cs="Times New Roman"/>
                <w:sz w:val="21"/>
                <w:szCs w:val="21"/>
                <w:lang w:eastAsia="en-US"/>
              </w:rPr>
              <w:t>10</w:t>
            </w:r>
            <w:r w:rsidRPr="00755D82">
              <w:rPr>
                <w:rFonts w:eastAsia="Calibri" w:cs="Times New Roman"/>
                <w:sz w:val="21"/>
                <w:szCs w:val="21"/>
                <w:lang w:eastAsia="en-US"/>
              </w:rPr>
              <w:t>-</w:t>
            </w:r>
            <w:r>
              <w:rPr>
                <w:rFonts w:eastAsia="Calibri" w:cs="Times New Roman"/>
                <w:sz w:val="21"/>
                <w:szCs w:val="21"/>
                <w:lang w:eastAsia="en-US"/>
              </w:rPr>
              <w:t>10</w:t>
            </w:r>
          </w:p>
          <w:p w14:paraId="264EEA27" w14:textId="77777777" w:rsidR="00371623" w:rsidRPr="00C403F4" w:rsidRDefault="00371623" w:rsidP="004B075D">
            <w:pPr>
              <w:widowControl/>
              <w:autoSpaceDE/>
              <w:autoSpaceDN/>
              <w:adjustRightInd/>
              <w:spacing w:before="120" w:line="276" w:lineRule="auto"/>
              <w:jc w:val="both"/>
              <w:rPr>
                <w:rFonts w:eastAsia="Calibri" w:cs="Times New Roman"/>
                <w:b/>
                <w:sz w:val="22"/>
                <w:szCs w:val="22"/>
                <w:lang w:eastAsia="en-US"/>
              </w:rPr>
            </w:pPr>
            <w:bookmarkStart w:id="8" w:name="Lista1"/>
            <w:r w:rsidRPr="00C403F4">
              <w:rPr>
                <w:rFonts w:eastAsia="Calibri" w:cs="Times New Roman"/>
                <w:b/>
                <w:sz w:val="22"/>
                <w:szCs w:val="22"/>
                <w:lang w:eastAsia="en-US"/>
              </w:rPr>
              <w:t>Źródło:</w:t>
            </w:r>
          </w:p>
          <w:bookmarkEnd w:id="8"/>
          <w:p w14:paraId="3C79B222" w14:textId="77777777" w:rsidR="00371623" w:rsidRDefault="00371623" w:rsidP="004B075D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 w:val="22"/>
                <w:szCs w:val="22"/>
                <w:highlight w:val="yellow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A</w:t>
            </w:r>
            <w:r w:rsidRPr="00C403F4">
              <w:rPr>
                <w:rFonts w:eastAsia="Calibri" w:cs="Times New Roman"/>
                <w:sz w:val="22"/>
                <w:szCs w:val="22"/>
                <w:lang w:eastAsia="en-US"/>
              </w:rPr>
              <w:t>rt. 30 ust. 4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 xml:space="preserve"> ustawy z dnia 28 kwietnia 2022 </w:t>
            </w:r>
            <w:r w:rsidRPr="00C403F4">
              <w:rPr>
                <w:rFonts w:eastAsia="Calibri" w:cs="Times New Roman"/>
                <w:sz w:val="22"/>
                <w:szCs w:val="22"/>
                <w:lang w:eastAsia="en-US"/>
              </w:rPr>
              <w:t>r. o zasadach realizacji zadań finansowanych ze środków europejskich w perspektywie finansowej 2021–2027 (Dz. U. poz. 1079)</w:t>
            </w:r>
          </w:p>
          <w:p w14:paraId="23B3A5A2" w14:textId="77777777" w:rsidR="00371623" w:rsidRPr="00C403F4" w:rsidRDefault="00371623" w:rsidP="004B075D">
            <w:pPr>
              <w:widowControl/>
              <w:autoSpaceDE/>
              <w:autoSpaceDN/>
              <w:adjustRightInd/>
              <w:spacing w:before="120" w:line="276" w:lineRule="auto"/>
              <w:jc w:val="both"/>
              <w:rPr>
                <w:rFonts w:eastAsia="Calibri" w:cs="Times New Roman"/>
                <w:b/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CD3BAB"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  <w:t xml:space="preserve">Nr w wykazie prac </w:t>
            </w:r>
            <w:r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  <w:t>214</w:t>
            </w:r>
          </w:p>
        </w:tc>
      </w:tr>
      <w:tr w:rsidR="00371623" w:rsidRPr="00C403F4" w14:paraId="02A80A1C" w14:textId="77777777" w:rsidTr="00E40B69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3C617A92" w14:textId="77777777" w:rsidR="00371623" w:rsidRPr="00C403F4" w:rsidRDefault="00371623" w:rsidP="004B075D">
            <w:pPr>
              <w:widowControl/>
              <w:autoSpaceDE/>
              <w:autoSpaceDN/>
              <w:adjustRightInd/>
              <w:spacing w:line="240" w:lineRule="auto"/>
              <w:ind w:left="57"/>
              <w:jc w:val="center"/>
              <w:rPr>
                <w:rFonts w:eastAsia="Calibri" w:cs="Times New Roman"/>
                <w:b/>
                <w:color w:val="FFFFFF"/>
                <w:sz w:val="32"/>
                <w:szCs w:val="32"/>
                <w:highlight w:val="yellow"/>
                <w:lang w:eastAsia="en-US"/>
              </w:rPr>
            </w:pPr>
            <w:r w:rsidRPr="00C403F4">
              <w:rPr>
                <w:rFonts w:eastAsia="Calibri" w:cs="Times New Roman"/>
                <w:b/>
                <w:color w:val="FFFFFF"/>
                <w:sz w:val="32"/>
                <w:szCs w:val="32"/>
                <w:lang w:eastAsia="en-US"/>
              </w:rPr>
              <w:t>OCENA SKUTKÓW REGULACJI</w:t>
            </w:r>
          </w:p>
        </w:tc>
      </w:tr>
      <w:tr w:rsidR="00371623" w:rsidRPr="00C403F4" w14:paraId="0DFA7896" w14:textId="77777777" w:rsidTr="00E40B69">
        <w:trPr>
          <w:gridAfter w:val="1"/>
          <w:wAfter w:w="10" w:type="dxa"/>
          <w:trHeight w:val="333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03988A33" w14:textId="77777777" w:rsidR="00371623" w:rsidRPr="008562FE" w:rsidRDefault="00371623" w:rsidP="004B075D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</w:pPr>
            <w:r w:rsidRPr="008562FE">
              <w:rPr>
                <w:rFonts w:eastAsia="Calibri" w:cs="Times New Roman"/>
                <w:b/>
                <w:sz w:val="22"/>
                <w:szCs w:val="22"/>
                <w:lang w:eastAsia="en-US"/>
              </w:rPr>
              <w:t>Jaki problem jest rozwiązywany?</w:t>
            </w:r>
            <w:bookmarkStart w:id="9" w:name="Wybór1"/>
            <w:bookmarkEnd w:id="9"/>
          </w:p>
        </w:tc>
      </w:tr>
      <w:tr w:rsidR="00371623" w:rsidRPr="00C403F4" w14:paraId="75D66F72" w14:textId="77777777" w:rsidTr="00E40B69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5CF0C37C" w14:textId="77777777" w:rsidR="00371623" w:rsidRPr="0026174E" w:rsidRDefault="00371623" w:rsidP="004B075D">
            <w:pPr>
              <w:widowControl/>
              <w:autoSpaceDE/>
              <w:autoSpaceDN/>
              <w:adjustRightInd/>
              <w:spacing w:before="120"/>
              <w:jc w:val="both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26174E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W 2022 r. przyjęty został program Fundusze Europejskie </w:t>
            </w:r>
            <w:r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na Rozwój Cyfrowy 2021</w:t>
            </w:r>
            <w:r>
              <w:rPr>
                <w:rFonts w:cs="Times"/>
              </w:rPr>
              <w:t>‒</w:t>
            </w:r>
            <w:r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2027 (dalej również jako: FERC lub program). FERC stanowi kontynuację</w:t>
            </w:r>
            <w:r w:rsidRPr="0026174E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 Programu </w:t>
            </w:r>
            <w:r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Operacyjnego </w:t>
            </w:r>
            <w:r w:rsidRPr="0026174E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Polska Cyfrowa </w:t>
            </w:r>
            <w:r w:rsidRPr="00AA1A8E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na lata 2014–2020 </w:t>
            </w:r>
            <w:r w:rsidRPr="0026174E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i </w:t>
            </w:r>
            <w:r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zapewnia ramy wsparcia dla</w:t>
            </w:r>
            <w:r w:rsidRPr="0026174E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 kolejn</w:t>
            </w:r>
            <w:r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ego</w:t>
            </w:r>
            <w:r w:rsidRPr="0026174E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 etap</w:t>
            </w:r>
            <w:r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u</w:t>
            </w:r>
            <w:r w:rsidRPr="0026174E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 cyfrowej transformacji kraju.</w:t>
            </w:r>
            <w:r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 W programie zaprojektowane zostało m.in. działanie 2.3 Cyfrowa dostępność i </w:t>
            </w:r>
            <w:r w:rsidRPr="0026174E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ponowne wykorzystanie informacji (</w:t>
            </w:r>
            <w:r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dalej jako: działanie 2.3), które przewiduje interwencję w dwóch obszarach:</w:t>
            </w:r>
          </w:p>
          <w:p w14:paraId="1B885510" w14:textId="77777777" w:rsidR="00371623" w:rsidRDefault="00371623" w:rsidP="004B075D">
            <w:pPr>
              <w:pStyle w:val="Akapitzlist"/>
              <w:numPr>
                <w:ilvl w:val="0"/>
                <w:numId w:val="18"/>
              </w:num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 w:rsidRPr="00063A45">
              <w:rPr>
                <w:rFonts w:ascii="Times New Roman" w:hAnsi="Times New Roman"/>
                <w:color w:val="000000"/>
              </w:rPr>
              <w:t xml:space="preserve">Cyfrowa dostępność </w:t>
            </w:r>
            <w:r>
              <w:rPr>
                <w:rFonts w:ascii="Times New Roman" w:hAnsi="Times New Roman"/>
                <w:color w:val="000000"/>
              </w:rPr>
              <w:t>informacji sektora publicznego.</w:t>
            </w:r>
          </w:p>
          <w:p w14:paraId="5833FCE9" w14:textId="77777777" w:rsidR="00371623" w:rsidRPr="00063A45" w:rsidRDefault="00371623" w:rsidP="004B075D">
            <w:pPr>
              <w:pStyle w:val="Akapitzlist"/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 w:rsidRPr="00063A45">
              <w:rPr>
                <w:rFonts w:ascii="Times New Roman" w:hAnsi="Times New Roman"/>
                <w:color w:val="000000"/>
              </w:rPr>
              <w:t>Celem jest zwiększenie ilości i jakości informacji sektora publicznego dostępnych do ponownego wykorzystania, w szczególności danych o wysokiej wartości i danych dynamicznych. Program zakłada działania zwiększające otwartość i poziom ponownego wykorzystania danych z zasobów kultury (w tym niebędących informacjami sektora publicznego), nauki i administracji. Wsparcie będzie udzielane tak</w:t>
            </w:r>
            <w:r>
              <w:rPr>
                <w:rFonts w:ascii="Times New Roman" w:hAnsi="Times New Roman"/>
                <w:color w:val="000000"/>
              </w:rPr>
              <w:t>że na budowę lub modernizację i </w:t>
            </w:r>
            <w:r w:rsidRPr="00063A45">
              <w:rPr>
                <w:rFonts w:ascii="Times New Roman" w:hAnsi="Times New Roman"/>
                <w:color w:val="000000"/>
              </w:rPr>
              <w:t>udostępnianie rozwiązań informatycznych do prowadzenia zaawansowanej analityki danych z wykorzystaniem nowych technologii.</w:t>
            </w:r>
          </w:p>
          <w:p w14:paraId="5D7A5607" w14:textId="77777777" w:rsidR="00371623" w:rsidRDefault="00371623" w:rsidP="004B075D">
            <w:pPr>
              <w:pStyle w:val="Akapitzlist"/>
              <w:numPr>
                <w:ilvl w:val="0"/>
                <w:numId w:val="18"/>
              </w:numPr>
              <w:spacing w:before="120" w:line="360" w:lineRule="auto"/>
              <w:jc w:val="both"/>
              <w:rPr>
                <w:rFonts w:ascii="Times New Roman" w:hAnsi="Times New Roman"/>
                <w:color w:val="000000"/>
              </w:rPr>
            </w:pPr>
            <w:r w:rsidRPr="00063A45">
              <w:rPr>
                <w:rFonts w:ascii="Times New Roman" w:hAnsi="Times New Roman"/>
                <w:color w:val="000000"/>
              </w:rPr>
              <w:t>Cyfrowa dostępność i ponowne wykorzystanie inf</w:t>
            </w:r>
            <w:r>
              <w:rPr>
                <w:rFonts w:ascii="Times New Roman" w:hAnsi="Times New Roman"/>
                <w:color w:val="000000"/>
              </w:rPr>
              <w:t>ormacji przez przedsiębiorstwa.</w:t>
            </w:r>
          </w:p>
          <w:p w14:paraId="39432D26" w14:textId="77777777" w:rsidR="00371623" w:rsidRDefault="00371623" w:rsidP="004B075D">
            <w:pPr>
              <w:pStyle w:val="Akapitzlist"/>
              <w:spacing w:before="120" w:line="360" w:lineRule="auto"/>
              <w:jc w:val="both"/>
              <w:rPr>
                <w:rFonts w:ascii="Times New Roman" w:hAnsi="Times New Roman"/>
                <w:color w:val="000000"/>
              </w:rPr>
            </w:pPr>
            <w:r w:rsidRPr="00063A45">
              <w:rPr>
                <w:rFonts w:ascii="Times New Roman" w:hAnsi="Times New Roman"/>
                <w:color w:val="000000"/>
              </w:rPr>
              <w:t>W tym przypadku przewiduje się wsparcie projektów, których celem będzie z</w:t>
            </w:r>
            <w:r>
              <w:rPr>
                <w:rFonts w:ascii="Times New Roman" w:hAnsi="Times New Roman"/>
                <w:color w:val="000000"/>
              </w:rPr>
              <w:t>apewnienie dostępu do danych, w </w:t>
            </w:r>
            <w:r w:rsidRPr="00063A45">
              <w:rPr>
                <w:rFonts w:ascii="Times New Roman" w:hAnsi="Times New Roman"/>
                <w:color w:val="000000"/>
              </w:rPr>
              <w:t>tym danych dynamicznych za pośrednictwem interfejsów programistycznych aplikacji</w:t>
            </w:r>
            <w:r>
              <w:rPr>
                <w:rFonts w:ascii="Times New Roman" w:hAnsi="Times New Roman"/>
                <w:color w:val="000000"/>
              </w:rPr>
              <w:t xml:space="preserve"> (API)</w:t>
            </w:r>
            <w:r w:rsidRPr="00063A45">
              <w:rPr>
                <w:rFonts w:ascii="Times New Roman" w:hAnsi="Times New Roman"/>
                <w:color w:val="000000"/>
              </w:rPr>
              <w:t>, wykorzystywanie danych i analityki biznesowej w przedsiębiorstwach oraz wsparcie wzajemnego dzielenia się danymi przez przedsiębiorstwa, w tym opracowanie standardów współpracy w zakresi</w:t>
            </w:r>
            <w:r>
              <w:rPr>
                <w:rFonts w:ascii="Times New Roman" w:hAnsi="Times New Roman"/>
                <w:color w:val="000000"/>
              </w:rPr>
              <w:t>e organizacyjnym, technicznym i prawnym.</w:t>
            </w:r>
          </w:p>
          <w:p w14:paraId="6127E624" w14:textId="77777777" w:rsidR="00371623" w:rsidRPr="001B7D64" w:rsidRDefault="00371623" w:rsidP="004B075D">
            <w:pPr>
              <w:spacing w:before="12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Działa</w:t>
            </w:r>
            <w:r w:rsidRPr="001B7D64">
              <w:rPr>
                <w:color w:val="000000"/>
                <w:sz w:val="22"/>
                <w:szCs w:val="22"/>
              </w:rPr>
              <w:t>nie 2.3 przewiduje udzielanie wsparcia na realizację projektów, których celem jest szeroko rozumiane zwiększenie dostępności oraz wymiany danych w gospodarce. W tym kontekście działa</w:t>
            </w:r>
            <w:r>
              <w:rPr>
                <w:color w:val="000000"/>
                <w:sz w:val="22"/>
                <w:szCs w:val="22"/>
              </w:rPr>
              <w:t xml:space="preserve">nie odwołuje się do regulacji z </w:t>
            </w:r>
            <w:r w:rsidRPr="001B7D64">
              <w:rPr>
                <w:color w:val="000000"/>
                <w:sz w:val="22"/>
                <w:szCs w:val="22"/>
              </w:rPr>
              <w:t>obszaru otwierania i ponownego wykorzystywania danych oraz zarzadzania danymi, tj.:</w:t>
            </w:r>
          </w:p>
          <w:p w14:paraId="52B4DD07" w14:textId="77777777" w:rsidR="00371623" w:rsidRDefault="00371623" w:rsidP="004B075D">
            <w:pPr>
              <w:pStyle w:val="Akapitzlist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 w:rsidRPr="00AF7938">
              <w:rPr>
                <w:rFonts w:ascii="Times New Roman" w:hAnsi="Times New Roman"/>
                <w:color w:val="000000"/>
              </w:rPr>
              <w:t>dyrektyw</w:t>
            </w:r>
            <w:r>
              <w:rPr>
                <w:rFonts w:ascii="Times New Roman" w:hAnsi="Times New Roman"/>
                <w:color w:val="000000"/>
              </w:rPr>
              <w:t>y</w:t>
            </w:r>
            <w:r w:rsidRPr="00AF7938">
              <w:rPr>
                <w:rFonts w:ascii="Times New Roman" w:hAnsi="Times New Roman"/>
                <w:color w:val="000000"/>
              </w:rPr>
              <w:t xml:space="preserve"> Parlamentu Europejskiego i Rady (UE) 2019/1024 z dnia 20 czerwca 2019 r. w sprawie otwartych danych i ponownego wykorzystywania informacji sektora publicznego (Dz. Urz. UE L 172 z 26.06.2019, str. 56) </w:t>
            </w:r>
            <w:r>
              <w:rPr>
                <w:rFonts w:ascii="Times New Roman" w:hAnsi="Times New Roman"/>
                <w:color w:val="000000"/>
              </w:rPr>
              <w:t>(</w:t>
            </w:r>
            <w:r w:rsidRPr="00AF7938">
              <w:rPr>
                <w:rFonts w:ascii="Times New Roman" w:hAnsi="Times New Roman"/>
                <w:color w:val="000000"/>
              </w:rPr>
              <w:t>na poziomie krajowym dyrektywę wdraża ustawa z dnia 11 sierpnia 2021 r.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AF7938">
              <w:rPr>
                <w:rFonts w:ascii="Times New Roman" w:hAnsi="Times New Roman"/>
                <w:color w:val="000000"/>
              </w:rPr>
              <w:t xml:space="preserve">o otwartych danych i ponownym wykorzystywaniu </w:t>
            </w:r>
            <w:r>
              <w:rPr>
                <w:rFonts w:ascii="Times New Roman" w:hAnsi="Times New Roman"/>
                <w:color w:val="000000"/>
              </w:rPr>
              <w:t xml:space="preserve">informacji sektora publicznego, Dz. U. z 2023 r. </w:t>
            </w:r>
            <w:r w:rsidRPr="00FF6B14">
              <w:rPr>
                <w:rFonts w:ascii="Times New Roman" w:hAnsi="Times New Roman"/>
                <w:color w:val="000000"/>
              </w:rPr>
              <w:t>1524</w:t>
            </w:r>
            <w:r>
              <w:rPr>
                <w:rFonts w:ascii="Times New Roman" w:hAnsi="Times New Roman"/>
                <w:color w:val="000000"/>
              </w:rPr>
              <w:t>),</w:t>
            </w:r>
          </w:p>
          <w:p w14:paraId="7F90293C" w14:textId="77777777" w:rsidR="00371623" w:rsidRDefault="00371623" w:rsidP="004B075D">
            <w:pPr>
              <w:pStyle w:val="Akapitzlist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 w:rsidRPr="00AF7938">
              <w:rPr>
                <w:rFonts w:ascii="Times New Roman" w:hAnsi="Times New Roman"/>
                <w:color w:val="000000"/>
              </w:rPr>
              <w:t>rozporządzeni</w:t>
            </w:r>
            <w:r>
              <w:rPr>
                <w:rFonts w:ascii="Times New Roman" w:hAnsi="Times New Roman"/>
                <w:color w:val="000000"/>
              </w:rPr>
              <w:t xml:space="preserve">a </w:t>
            </w:r>
            <w:r w:rsidRPr="00AF7938">
              <w:rPr>
                <w:rFonts w:ascii="Times New Roman" w:hAnsi="Times New Roman"/>
                <w:color w:val="000000"/>
              </w:rPr>
              <w:t>Parlamentu Europejskiego i Rady (UE) 2022/868 z dnia 30 maja 2022 r. w sprawie europejskiego zarządzania danymi i zmieniającego rozporządzenie (UE) 2018/1724 (akt w sprawie zarządzania danymi) (Dz. Urz. UE L 152 z 03.06.2022, str. 1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4B49E1">
              <w:rPr>
                <w:rFonts w:ascii="Times New Roman" w:hAnsi="Times New Roman"/>
                <w:color w:val="000000"/>
              </w:rPr>
              <w:t>oraz Dz. Urz. UE L 132 z 17.05.2023, str. 89</w:t>
            </w:r>
            <w:r w:rsidRPr="00AF7938">
              <w:rPr>
                <w:rFonts w:ascii="Times New Roman" w:hAnsi="Times New Roman"/>
                <w:color w:val="000000"/>
              </w:rPr>
              <w:t>).</w:t>
            </w:r>
          </w:p>
          <w:p w14:paraId="588ADEE0" w14:textId="77777777" w:rsidR="00371623" w:rsidRDefault="00371623" w:rsidP="004B075D">
            <w:pPr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5F44DE">
              <w:rPr>
                <w:rFonts w:eastAsia="Calibri"/>
                <w:color w:val="000000"/>
                <w:sz w:val="22"/>
                <w:szCs w:val="22"/>
              </w:rPr>
              <w:t>W istotnym zakresie działanie 2.3 stanowi również kontynuację poddziałań drugiej osi priorytetowej Programu Operacyjnego Polska Cyfrowa na lata 2014</w:t>
            </w:r>
            <w:r w:rsidRPr="0044221D">
              <w:rPr>
                <w:rFonts w:eastAsia="Calibri"/>
                <w:color w:val="000000"/>
                <w:sz w:val="22"/>
                <w:szCs w:val="22"/>
              </w:rPr>
              <w:t>‒</w:t>
            </w:r>
            <w:r w:rsidRPr="005F44DE">
              <w:rPr>
                <w:rFonts w:eastAsia="Calibri"/>
                <w:color w:val="000000"/>
                <w:sz w:val="22"/>
                <w:szCs w:val="22"/>
              </w:rPr>
              <w:t>2020: 2.3.1 Cyfrowe udostępnienie informacji sektora publicznego ze źródeł administracyjnych i zasobów nauki oraz 2.3.2 Cyfrowe udostępnienie zasobów kultury.</w:t>
            </w:r>
          </w:p>
          <w:p w14:paraId="62952FC8" w14:textId="77777777" w:rsidR="00371623" w:rsidRPr="00AA1A8E" w:rsidRDefault="00371623" w:rsidP="004B075D">
            <w:pPr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 xml:space="preserve">Wydatkowane w ramach programu środki mogą stanowić pomoc publiczną lub pomoc </w:t>
            </w:r>
            <w:r w:rsidRPr="00AA1A8E">
              <w:rPr>
                <w:rFonts w:eastAsia="Calibri"/>
                <w:i/>
                <w:color w:val="000000"/>
                <w:sz w:val="22"/>
                <w:szCs w:val="22"/>
              </w:rPr>
              <w:t>de minimis</w:t>
            </w:r>
            <w:r>
              <w:rPr>
                <w:rFonts w:eastAsia="Calibri"/>
                <w:i/>
                <w:color w:val="000000"/>
                <w:sz w:val="22"/>
                <w:szCs w:val="22"/>
              </w:rPr>
              <w:t>.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Zgodnie z art. </w:t>
            </w:r>
            <w:r w:rsidRPr="008B1597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30 ust. </w:t>
            </w:r>
            <w:r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1</w:t>
            </w:r>
            <w:r w:rsidRPr="008B1597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 ustawy z dnia 28 kwietnia 2022 r. o zasadach realizacji zadań finansowanych ze środków europejskich w perspektywie finansowej 2021–2027 (Dz. U. poz. 1079)</w:t>
            </w:r>
            <w:r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 w zakresie, w </w:t>
            </w:r>
            <w:r w:rsidRPr="008B1597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jakim w ramach programów </w:t>
            </w:r>
            <w:r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(np. w ramach FERC) </w:t>
            </w:r>
            <w:r w:rsidRPr="008B1597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jest udzielana pomoc publiczna w rozumieniu art. 107 ust. 1 Traktatu o funkcjonowaniu Unii Europejskiej </w:t>
            </w:r>
            <w:r w:rsidRPr="00CA575F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(Dz. Urz. UE</w:t>
            </w:r>
            <w:r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 C 326 z </w:t>
            </w:r>
            <w:r w:rsidRPr="00CA575F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26.10.2012, str. 47)</w:t>
            </w:r>
            <w:r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8B1597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lub pomoc </w:t>
            </w:r>
            <w:r w:rsidRPr="008B1597">
              <w:rPr>
                <w:rFonts w:eastAsia="Calibri" w:cs="Times New Roman"/>
                <w:i/>
                <w:color w:val="000000"/>
                <w:sz w:val="22"/>
                <w:szCs w:val="22"/>
                <w:lang w:eastAsia="en-US"/>
              </w:rPr>
              <w:t>de minimis</w:t>
            </w:r>
            <w:r w:rsidRPr="008B1597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, zastosowanie mają szczegółowe warunki i tryb udzielania </w:t>
            </w:r>
            <w:r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takiej </w:t>
            </w:r>
            <w:r w:rsidRPr="008B1597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pomocy.</w:t>
            </w:r>
            <w:r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 W art. 30 ust. 4 wskazanej ustawy zawarto upoważnienie do wydania przez w</w:t>
            </w:r>
            <w:r w:rsidRPr="00CA575F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łaściw</w:t>
            </w:r>
            <w:r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ego ministra przepisów wykonawczych określających</w:t>
            </w:r>
            <w:r w:rsidRPr="008B1597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 szcze</w:t>
            </w:r>
            <w:r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gółowe przeznaczenie, warunki i </w:t>
            </w:r>
            <w:r w:rsidRPr="008B1597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tryb udzielania </w:t>
            </w:r>
            <w:r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takiej pomocy, a </w:t>
            </w:r>
            <w:r w:rsidRPr="008B1597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także p</w:t>
            </w:r>
            <w:r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odmioty udzielające pomocy, przy </w:t>
            </w:r>
            <w:r w:rsidRPr="008B1597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uwzględni</w:t>
            </w:r>
            <w:r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eniu</w:t>
            </w:r>
            <w:r w:rsidRPr="008B1597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 kon</w:t>
            </w:r>
            <w:r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ieczności zapewnienia zgodności pomocy z </w:t>
            </w:r>
            <w:r w:rsidRPr="008B1597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ryn</w:t>
            </w:r>
            <w:r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kiem wewnętrznym, efektywnego i </w:t>
            </w:r>
            <w:r w:rsidRPr="008B1597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skutecznego jej wykorzystania ora</w:t>
            </w:r>
            <w:r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z przejrzystości jej udzielania</w:t>
            </w:r>
            <w:r w:rsidRPr="008B1597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.</w:t>
            </w:r>
          </w:p>
          <w:p w14:paraId="105707E4" w14:textId="77777777" w:rsidR="00371623" w:rsidRPr="004450CD" w:rsidRDefault="00371623" w:rsidP="004B075D">
            <w:pPr>
              <w:widowControl/>
              <w:autoSpaceDE/>
              <w:autoSpaceDN/>
              <w:adjustRightInd/>
              <w:jc w:val="both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957B6E"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  <w:t xml:space="preserve">W odniesieniu do działania 2.3 brak jest obecnie przepisów wykonawczych regulujących szczegółowe przeznaczenie, warunki oraz tryb udzielania pomocy publicznej i pomocy </w:t>
            </w:r>
            <w:r w:rsidRPr="00957B6E">
              <w:rPr>
                <w:rFonts w:eastAsia="Calibri" w:cs="Times New Roman"/>
                <w:b/>
                <w:i/>
                <w:color w:val="000000"/>
                <w:sz w:val="22"/>
                <w:szCs w:val="22"/>
                <w:lang w:eastAsia="en-US"/>
              </w:rPr>
              <w:t>de minimis</w:t>
            </w:r>
            <w:r w:rsidRPr="00957B6E"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  <w:t xml:space="preserve"> w ramach środków wydatkowanych w obszarze działania 2.3. Konieczne jest w związku z tym wydanie odpowiedniego aktu normatywnego</w:t>
            </w:r>
            <w:r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371623" w:rsidRPr="00C403F4" w14:paraId="10ABBC27" w14:textId="77777777" w:rsidTr="00E40B69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3E7E5C67" w14:textId="77777777" w:rsidR="00371623" w:rsidRPr="008562FE" w:rsidRDefault="00371623" w:rsidP="004B075D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</w:pPr>
            <w:r w:rsidRPr="008562FE">
              <w:rPr>
                <w:rFonts w:eastAsia="Calibri" w:cs="Times New Roman"/>
                <w:b/>
                <w:color w:val="000000"/>
                <w:spacing w:val="-2"/>
                <w:sz w:val="22"/>
                <w:szCs w:val="22"/>
                <w:lang w:eastAsia="en-US"/>
              </w:rPr>
              <w:t>Rekomendowane rozwiązanie, w tym planowane narzędzia interwencji, i oczekiwany efekt</w:t>
            </w:r>
          </w:p>
        </w:tc>
      </w:tr>
      <w:tr w:rsidR="00371623" w:rsidRPr="00C403F4" w14:paraId="4FDDF8A3" w14:textId="77777777" w:rsidTr="00E40B69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275DEAC1" w14:textId="77777777" w:rsidR="00371623" w:rsidRDefault="00371623" w:rsidP="004B075D">
            <w:pPr>
              <w:widowControl/>
              <w:autoSpaceDE/>
              <w:autoSpaceDN/>
              <w:adjustRightInd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Rekomendowanym rozwiązaniem jest wydanie rozporządzenia, na podstawie art. 30 ust. 4 ustawy z dnia 28 kwietnia 2022 </w:t>
            </w:r>
            <w:r w:rsidRPr="002B7559">
              <w:rPr>
                <w:rFonts w:eastAsia="Calibri"/>
                <w:color w:val="000000"/>
                <w:sz w:val="22"/>
                <w:szCs w:val="22"/>
              </w:rPr>
              <w:t>r. o zasadach realizacji zadań finansowanych ze środków europejskich w perspektywie finansowej 2021–2027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, w którym zawarte zostaną przepisy regulujące </w:t>
            </w:r>
            <w:r w:rsidRPr="002B7559">
              <w:rPr>
                <w:rFonts w:eastAsia="Calibri"/>
                <w:color w:val="000000"/>
                <w:sz w:val="22"/>
                <w:szCs w:val="22"/>
              </w:rPr>
              <w:t xml:space="preserve">szczegółowe przeznaczenie, warunki oraz tryb udzielania przez Centrum Projektów Polska Cyfrowa pomocy publicznej i pomocy </w:t>
            </w:r>
            <w:r w:rsidRPr="002B7559">
              <w:rPr>
                <w:rFonts w:eastAsia="Calibri"/>
                <w:i/>
                <w:color w:val="000000"/>
                <w:sz w:val="22"/>
                <w:szCs w:val="22"/>
              </w:rPr>
              <w:t>de minimis</w:t>
            </w:r>
            <w:r w:rsidRPr="002B7559">
              <w:rPr>
                <w:rFonts w:eastAsia="Calibri"/>
                <w:color w:val="000000"/>
                <w:sz w:val="22"/>
                <w:szCs w:val="22"/>
              </w:rPr>
              <w:t xml:space="preserve"> w ramach działania 2.3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. Przepisy te, </w:t>
            </w:r>
            <w:r w:rsidRPr="002B755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w kontekście art. 107 i 108 Traktatu o funkcjonowaniu Unii Europejskiej, </w:t>
            </w:r>
            <w:r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są niezbędne do legalizacji </w:t>
            </w:r>
            <w:r w:rsidRPr="002B755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środków wydatkowanych </w:t>
            </w:r>
            <w:r w:rsidRPr="00DD1B3C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w </w:t>
            </w:r>
            <w:r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ramach tego działania</w:t>
            </w:r>
            <w:r w:rsidRPr="002B7559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.</w:t>
            </w:r>
          </w:p>
          <w:p w14:paraId="5903A5A2" w14:textId="77777777" w:rsidR="00371623" w:rsidRPr="00113211" w:rsidRDefault="00371623" w:rsidP="004B075D">
            <w:pPr>
              <w:widowControl/>
              <w:autoSpaceDE/>
              <w:autoSpaceDN/>
              <w:adjustRightInd/>
              <w:jc w:val="both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P</w:t>
            </w:r>
            <w:r w:rsidRPr="00070E7F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rojektowane rozporządzenie jest spójne z</w:t>
            </w:r>
            <w:r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 aktami prawa UE dotyczącymi pomocy publicznej, tj.</w:t>
            </w:r>
            <w:r w:rsidRPr="00113211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:</w:t>
            </w:r>
          </w:p>
          <w:p w14:paraId="08728920" w14:textId="77777777" w:rsidR="00C03316" w:rsidRPr="00445BB0" w:rsidRDefault="00C03316" w:rsidP="00C03316">
            <w:pPr>
              <w:jc w:val="both"/>
              <w:rPr>
                <w:color w:val="000000"/>
                <w:sz w:val="22"/>
                <w:szCs w:val="22"/>
              </w:rPr>
            </w:pPr>
            <w:r w:rsidRPr="00445BB0">
              <w:rPr>
                <w:color w:val="000000"/>
                <w:sz w:val="22"/>
                <w:szCs w:val="22"/>
              </w:rPr>
              <w:t xml:space="preserve">1) rozporządzeniem Komisji (UE) nr 1407/2013 z dnia 18 grudnia 2013 r. w sprawie stosowania art. 107 i 108 Traktatu o funkcjonowaniu Unii Europejskiej do pomocy </w:t>
            </w:r>
            <w:r w:rsidRPr="00445BB0">
              <w:rPr>
                <w:rStyle w:val="Kkursywa"/>
                <w:sz w:val="22"/>
                <w:szCs w:val="22"/>
              </w:rPr>
              <w:t>de minimis</w:t>
            </w:r>
            <w:r w:rsidRPr="00445BB0">
              <w:rPr>
                <w:color w:val="000000"/>
                <w:sz w:val="22"/>
                <w:szCs w:val="22"/>
              </w:rPr>
              <w:t xml:space="preserve"> (Dz. Urz. UE L 352 z 24.12.2013, str. 1, z późn. zm.);</w:t>
            </w:r>
          </w:p>
          <w:p w14:paraId="2D0346F3" w14:textId="77777777" w:rsidR="00C03316" w:rsidRPr="00445BB0" w:rsidRDefault="00C03316" w:rsidP="00C03316">
            <w:pPr>
              <w:jc w:val="both"/>
              <w:rPr>
                <w:color w:val="000000"/>
                <w:sz w:val="22"/>
                <w:szCs w:val="22"/>
              </w:rPr>
            </w:pPr>
            <w:r w:rsidRPr="00445BB0">
              <w:rPr>
                <w:color w:val="000000"/>
                <w:sz w:val="22"/>
                <w:szCs w:val="22"/>
              </w:rPr>
              <w:t>2) rozporządzeniem Komisji (UE) nr 651/2014 z dnia 17 czerwca 2014 r. uznające niektóre rodzaje pomocy za zgodne z rynkiem wewnętrznym w zastosowaniu art. 107 i 108 Traktatu (Dz. Urz. UE L 187 z 26.06.2014, str. 1, z późn. zm.).</w:t>
            </w:r>
          </w:p>
          <w:p w14:paraId="71C5A633" w14:textId="77777777" w:rsidR="00C03316" w:rsidRPr="00445BB0" w:rsidRDefault="00C03316" w:rsidP="00C03316">
            <w:pPr>
              <w:jc w:val="both"/>
              <w:rPr>
                <w:color w:val="000000"/>
                <w:sz w:val="22"/>
                <w:szCs w:val="22"/>
              </w:rPr>
            </w:pPr>
            <w:r w:rsidRPr="00445BB0">
              <w:rPr>
                <w:color w:val="000000"/>
                <w:sz w:val="22"/>
                <w:szCs w:val="22"/>
              </w:rPr>
              <w:t xml:space="preserve">Punktem odniesienia dla projektowanych rozwiązań były również przepisy rozporządzenia Ministra Administracji i Cyfryzacji z dnia 21 sierpnia 2015 r. sprawie udzielania pomocy publicznej i pomocy </w:t>
            </w:r>
            <w:r w:rsidRPr="00445BB0">
              <w:rPr>
                <w:i/>
                <w:color w:val="000000"/>
                <w:sz w:val="22"/>
                <w:szCs w:val="22"/>
              </w:rPr>
              <w:t>de minimis</w:t>
            </w:r>
            <w:r w:rsidRPr="00445BB0">
              <w:rPr>
                <w:color w:val="000000"/>
                <w:sz w:val="22"/>
                <w:szCs w:val="22"/>
              </w:rPr>
              <w:t xml:space="preserve"> na cyfrowe udostępnienie informacji sektora publicznego ze źródeł administracyjnych i zasobów nauki oraz cyfrowe udostępnienie zasobów kultury w ramach Programu Operacyjnego Polska Cyfrowa na lata 2014–2020 (Dz. U. poz. 1237).</w:t>
            </w:r>
          </w:p>
          <w:p w14:paraId="4E9F49C5" w14:textId="1EAE6E1C" w:rsidR="00371623" w:rsidRPr="00C03316" w:rsidRDefault="00C03316" w:rsidP="00C03316">
            <w:pPr>
              <w:rPr>
                <w:sz w:val="22"/>
                <w:szCs w:val="22"/>
              </w:rPr>
            </w:pPr>
            <w:r w:rsidRPr="00445BB0">
              <w:rPr>
                <w:b/>
                <w:color w:val="000000"/>
                <w:sz w:val="22"/>
                <w:szCs w:val="22"/>
              </w:rPr>
              <w:t xml:space="preserve">Wydanie projektowanych przepisów wykonawczych umożliwi wydatkowanie środków przewidzianych w ramach działania 2.3 w zgodzie z przepisami o pomocy publicznej i pomocy </w:t>
            </w:r>
            <w:r w:rsidRPr="00445BB0">
              <w:rPr>
                <w:b/>
                <w:i/>
                <w:color w:val="000000"/>
                <w:sz w:val="22"/>
                <w:szCs w:val="22"/>
              </w:rPr>
              <w:t>de minimis</w:t>
            </w:r>
            <w:r w:rsidRPr="00445BB0">
              <w:rPr>
                <w:b/>
                <w:color w:val="000000"/>
                <w:sz w:val="22"/>
                <w:szCs w:val="22"/>
              </w:rPr>
              <w:t>.</w:t>
            </w:r>
          </w:p>
        </w:tc>
      </w:tr>
      <w:tr w:rsidR="00371623" w:rsidRPr="00C403F4" w14:paraId="1C895903" w14:textId="77777777" w:rsidTr="00E40B69">
        <w:trPr>
          <w:gridAfter w:val="1"/>
          <w:wAfter w:w="10" w:type="dxa"/>
          <w:trHeight w:val="307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1198588A" w14:textId="77777777" w:rsidR="00371623" w:rsidRPr="008562FE" w:rsidRDefault="00371623" w:rsidP="004B075D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</w:pPr>
            <w:r w:rsidRPr="008562FE">
              <w:rPr>
                <w:rFonts w:eastAsia="Calibri" w:cs="Times New Roman"/>
                <w:b/>
                <w:spacing w:val="-2"/>
                <w:sz w:val="22"/>
                <w:szCs w:val="22"/>
                <w:lang w:eastAsia="en-US"/>
              </w:rPr>
              <w:t>Jak problem został rozwiązany w innych krajach, w szczególności krajach członkowskich OECD/UE</w:t>
            </w:r>
            <w:r w:rsidRPr="008562FE"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  <w:t>?</w:t>
            </w:r>
            <w:r w:rsidRPr="008562FE">
              <w:rPr>
                <w:rFonts w:eastAsia="Calibri" w:cs="Times New Roman"/>
                <w:i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371623" w:rsidRPr="00C403F4" w14:paraId="1A04C53C" w14:textId="77777777" w:rsidTr="00E40B69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5C288860" w14:textId="77777777" w:rsidR="00371623" w:rsidRPr="00C403F4" w:rsidRDefault="00371623" w:rsidP="004B075D">
            <w:pPr>
              <w:widowControl/>
              <w:autoSpaceDE/>
              <w:autoSpaceDN/>
              <w:adjustRightInd/>
              <w:jc w:val="both"/>
              <w:rPr>
                <w:rFonts w:eastAsia="Calibri" w:cs="Times New Roman"/>
                <w:color w:val="000000"/>
                <w:spacing w:val="-2"/>
                <w:sz w:val="22"/>
                <w:szCs w:val="22"/>
                <w:highlight w:val="yellow"/>
                <w:lang w:eastAsia="en-US"/>
              </w:rPr>
            </w:pPr>
            <w:r w:rsidRPr="009C6126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Nie dotyczy</w:t>
            </w:r>
            <w:r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. Projektowane rozporządzenie stanowi wykonanie przepisów prawa krajowego.</w:t>
            </w:r>
          </w:p>
        </w:tc>
      </w:tr>
      <w:tr w:rsidR="00371623" w:rsidRPr="00C403F4" w14:paraId="1BFD801C" w14:textId="77777777" w:rsidTr="00E40B69">
        <w:trPr>
          <w:gridAfter w:val="1"/>
          <w:wAfter w:w="10" w:type="dxa"/>
          <w:trHeight w:val="359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440F5A06" w14:textId="77777777" w:rsidR="00371623" w:rsidRPr="008562FE" w:rsidRDefault="00371623" w:rsidP="004B075D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40" w:lineRule="auto"/>
              <w:jc w:val="both"/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</w:pPr>
            <w:r w:rsidRPr="008562FE"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  <w:t>Podmioty, na które oddziałuje projekt</w:t>
            </w:r>
          </w:p>
        </w:tc>
      </w:tr>
      <w:tr w:rsidR="00371623" w:rsidRPr="00C403F4" w14:paraId="5639520B" w14:textId="77777777" w:rsidTr="00E40B69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6728632C" w14:textId="77777777" w:rsidR="00371623" w:rsidRPr="00C337F4" w:rsidRDefault="00371623" w:rsidP="004B075D">
            <w:pPr>
              <w:widowControl/>
              <w:autoSpaceDE/>
              <w:autoSpaceDN/>
              <w:adjustRightInd/>
              <w:spacing w:before="40" w:line="240" w:lineRule="auto"/>
              <w:jc w:val="center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C337F4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Grupa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1371873F" w14:textId="77777777" w:rsidR="00371623" w:rsidRPr="009C6126" w:rsidRDefault="00371623" w:rsidP="004B075D">
            <w:pPr>
              <w:widowControl/>
              <w:autoSpaceDE/>
              <w:autoSpaceDN/>
              <w:adjustRightInd/>
              <w:spacing w:before="40" w:line="240" w:lineRule="auto"/>
              <w:jc w:val="center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9C6126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Wielkość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055E43D2" w14:textId="77777777" w:rsidR="00371623" w:rsidRPr="009C6126" w:rsidRDefault="00371623" w:rsidP="004B075D">
            <w:pPr>
              <w:widowControl/>
              <w:autoSpaceDE/>
              <w:autoSpaceDN/>
              <w:adjustRightInd/>
              <w:spacing w:before="40" w:line="240" w:lineRule="auto"/>
              <w:jc w:val="center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9C6126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Źródło danych</w:t>
            </w:r>
            <w:r w:rsidRPr="009C6126" w:rsidDel="00260F33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981" w:type="dxa"/>
            <w:gridSpan w:val="6"/>
            <w:shd w:val="clear" w:color="auto" w:fill="auto"/>
          </w:tcPr>
          <w:p w14:paraId="0C5C9128" w14:textId="77777777" w:rsidR="00371623" w:rsidRPr="009C6126" w:rsidRDefault="00371623" w:rsidP="004B075D">
            <w:pPr>
              <w:widowControl/>
              <w:autoSpaceDE/>
              <w:autoSpaceDN/>
              <w:adjustRightInd/>
              <w:spacing w:before="40" w:line="240" w:lineRule="auto"/>
              <w:jc w:val="center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9C6126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Oddziaływanie</w:t>
            </w:r>
          </w:p>
        </w:tc>
      </w:tr>
      <w:tr w:rsidR="00371623" w:rsidRPr="00C403F4" w14:paraId="7BA314B7" w14:textId="77777777" w:rsidTr="00E40B69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700D57C5" w14:textId="77777777" w:rsidR="00371623" w:rsidRPr="000F1AF4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0F1AF4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 xml:space="preserve">Beneficjenci pomocy publicznej i </w:t>
            </w:r>
            <w:r w:rsidRPr="000F1AF4">
              <w:rPr>
                <w:rStyle w:val="Kkursywa"/>
                <w:sz w:val="22"/>
                <w:szCs w:val="22"/>
              </w:rPr>
              <w:t>pomocy de minimis, tj. „</w:t>
            </w:r>
            <w:r w:rsidRPr="000F1AF4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przedsiębiorstwa”</w:t>
            </w:r>
            <w:r w:rsidRPr="000F1AF4">
              <w:rPr>
                <w:rStyle w:val="Odwoanieprzypisudolnego"/>
                <w:rFonts w:eastAsia="Calibri"/>
                <w:color w:val="000000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F1AF4">
              <w:rPr>
                <w:rStyle w:val="Odwoanieprzypisudolnego"/>
                <w:rFonts w:eastAsia="Calibri"/>
                <w:color w:val="000000"/>
                <w:spacing w:val="-2"/>
                <w:sz w:val="22"/>
                <w:szCs w:val="22"/>
                <w:lang w:eastAsia="en-US"/>
              </w:rPr>
              <w:footnoteReference w:id="4"/>
            </w:r>
            <w:r w:rsidRPr="000F1AF4">
              <w:rPr>
                <w:rStyle w:val="IGindeksgrny"/>
                <w:sz w:val="22"/>
                <w:szCs w:val="22"/>
              </w:rPr>
              <w:t>)</w:t>
            </w:r>
            <w:r w:rsidRPr="000F1AF4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 xml:space="preserve"> uzyskujące </w:t>
            </w:r>
            <w:r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wsparcie w ramach działania 2.3</w:t>
            </w:r>
          </w:p>
          <w:p w14:paraId="4AED105C" w14:textId="77777777" w:rsidR="00371623" w:rsidRPr="00C337F4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2292" w:type="dxa"/>
            <w:gridSpan w:val="8"/>
            <w:shd w:val="clear" w:color="auto" w:fill="auto"/>
          </w:tcPr>
          <w:p w14:paraId="03997391" w14:textId="77777777" w:rsidR="00371623" w:rsidRPr="00C403F4" w:rsidRDefault="00371623" w:rsidP="004B075D">
            <w:pPr>
              <w:spacing w:line="240" w:lineRule="auto"/>
              <w:rPr>
                <w:rFonts w:eastAsia="Times New Roman" w:cs="Times New Roman"/>
                <w:sz w:val="22"/>
                <w:szCs w:val="22"/>
                <w:highlight w:val="yellow"/>
              </w:rPr>
            </w:pPr>
            <w:r w:rsidRPr="000B3BD5">
              <w:rPr>
                <w:rFonts w:eastAsia="Times New Roman" w:cs="Times New Roman"/>
                <w:sz w:val="22"/>
                <w:szCs w:val="22"/>
              </w:rPr>
              <w:t>Trudna do oszacowania</w:t>
            </w:r>
            <w:r>
              <w:rPr>
                <w:rStyle w:val="Odwoanieprzypisudolnego"/>
                <w:rFonts w:eastAsia="Times New Roman"/>
                <w:sz w:val="22"/>
                <w:szCs w:val="22"/>
              </w:rPr>
              <w:footnoteReference w:id="5"/>
            </w:r>
            <w:r w:rsidRPr="0069567A">
              <w:rPr>
                <w:rFonts w:eastAsia="Times New Roman" w:cs="Times New Roman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30F3227F" w14:textId="77777777" w:rsidR="00371623" w:rsidRPr="00C403F4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sz w:val="22"/>
                <w:szCs w:val="22"/>
                <w:highlight w:val="yellow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Zawiadomienie Komisji w </w:t>
            </w:r>
            <w:r w:rsidRPr="007958D9">
              <w:rPr>
                <w:rFonts w:eastAsia="Calibri" w:cs="Times New Roman"/>
                <w:sz w:val="22"/>
                <w:szCs w:val="22"/>
                <w:lang w:eastAsia="en-US"/>
              </w:rPr>
              <w:t xml:space="preserve">sprawie pojęcia pomocy państwa w rozumieniu art. 107 ust. 1 Traktatu o funkcjonowaniu </w:t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Unii Europejskiej (C/2016/2946)</w:t>
            </w:r>
          </w:p>
        </w:tc>
        <w:tc>
          <w:tcPr>
            <w:tcW w:w="2981" w:type="dxa"/>
            <w:gridSpan w:val="6"/>
            <w:shd w:val="clear" w:color="auto" w:fill="auto"/>
          </w:tcPr>
          <w:p w14:paraId="7A7F2B0A" w14:textId="77777777" w:rsidR="00371623" w:rsidRPr="0069567A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Times New Roman" w:cs="Times New Roman"/>
                <w:sz w:val="22"/>
                <w:szCs w:val="22"/>
                <w:highlight w:val="yellow"/>
              </w:rPr>
            </w:pPr>
            <w:r w:rsidRPr="0069567A">
              <w:rPr>
                <w:rFonts w:eastAsia="Times New Roman" w:cs="Times New Roman"/>
                <w:sz w:val="22"/>
                <w:szCs w:val="22"/>
              </w:rPr>
              <w:t>Możliwość uzyskania w</w:t>
            </w:r>
            <w:r>
              <w:rPr>
                <w:rFonts w:eastAsia="Times New Roman" w:cs="Times New Roman"/>
                <w:sz w:val="22"/>
                <w:szCs w:val="22"/>
              </w:rPr>
              <w:t>sparcia w ramach działania 2.3</w:t>
            </w:r>
            <w:r w:rsidRPr="0069567A">
              <w:rPr>
                <w:rFonts w:eastAsia="Times New Roman" w:cs="Times New Roman"/>
                <w:sz w:val="22"/>
                <w:szCs w:val="22"/>
              </w:rPr>
              <w:t xml:space="preserve"> zgodn</w:t>
            </w:r>
            <w:r>
              <w:rPr>
                <w:rFonts w:eastAsia="Times New Roman" w:cs="Times New Roman"/>
                <w:sz w:val="22"/>
                <w:szCs w:val="22"/>
              </w:rPr>
              <w:t>ie z przepisami o </w:t>
            </w:r>
            <w:r w:rsidRPr="0069567A">
              <w:rPr>
                <w:rFonts w:eastAsia="Times New Roman" w:cs="Times New Roman"/>
                <w:sz w:val="22"/>
                <w:szCs w:val="22"/>
              </w:rPr>
              <w:t xml:space="preserve">pomocy publicznej i pomocy </w:t>
            </w:r>
            <w:r w:rsidRPr="0069567A">
              <w:rPr>
                <w:rStyle w:val="Kkursywa"/>
                <w:sz w:val="22"/>
                <w:szCs w:val="22"/>
              </w:rPr>
              <w:t>de minimis</w:t>
            </w:r>
          </w:p>
        </w:tc>
      </w:tr>
      <w:tr w:rsidR="00371623" w:rsidRPr="00C403F4" w14:paraId="38F7D140" w14:textId="77777777" w:rsidTr="00E40B69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14:paraId="3A5EBAE0" w14:textId="77777777" w:rsidR="00371623" w:rsidRPr="00DA560C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DA560C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Centrum Projektów</w:t>
            </w:r>
          </w:p>
          <w:p w14:paraId="5F33E9BB" w14:textId="77777777" w:rsidR="00371623" w:rsidRPr="000F1AF4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DA560C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Polska Cyfrowa</w:t>
            </w:r>
          </w:p>
        </w:tc>
        <w:tc>
          <w:tcPr>
            <w:tcW w:w="2292" w:type="dxa"/>
            <w:gridSpan w:val="8"/>
            <w:shd w:val="clear" w:color="auto" w:fill="auto"/>
          </w:tcPr>
          <w:p w14:paraId="659A9A46" w14:textId="77777777" w:rsidR="00371623" w:rsidRPr="000B3BD5" w:rsidRDefault="00371623" w:rsidP="004B075D">
            <w:pPr>
              <w:spacing w:line="240" w:lineRule="auto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1</w:t>
            </w:r>
          </w:p>
        </w:tc>
        <w:tc>
          <w:tcPr>
            <w:tcW w:w="2996" w:type="dxa"/>
            <w:gridSpan w:val="12"/>
            <w:shd w:val="clear" w:color="auto" w:fill="auto"/>
          </w:tcPr>
          <w:p w14:paraId="771D6C7B" w14:textId="77777777" w:rsidR="00371623" w:rsidRPr="007958D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981" w:type="dxa"/>
            <w:gridSpan w:val="6"/>
            <w:shd w:val="clear" w:color="auto" w:fill="auto"/>
          </w:tcPr>
          <w:p w14:paraId="3ED7B0F5" w14:textId="77777777" w:rsidR="00371623" w:rsidRPr="00DA560C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Times New Roman" w:cs="Times New Roman"/>
                <w:sz w:val="22"/>
                <w:szCs w:val="22"/>
              </w:rPr>
            </w:pPr>
            <w:r w:rsidRPr="00DA560C">
              <w:rPr>
                <w:rFonts w:eastAsia="Times New Roman" w:cs="Times New Roman"/>
                <w:sz w:val="22"/>
                <w:szCs w:val="22"/>
              </w:rPr>
              <w:t>Określenie warunków</w:t>
            </w:r>
          </w:p>
          <w:p w14:paraId="73AC6DA9" w14:textId="77777777" w:rsidR="00371623" w:rsidRPr="0069567A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Times New Roman" w:cs="Times New Roman"/>
                <w:sz w:val="22"/>
                <w:szCs w:val="22"/>
              </w:rPr>
            </w:pPr>
            <w:r w:rsidRPr="00DA560C">
              <w:rPr>
                <w:rFonts w:eastAsia="Times New Roman" w:cs="Times New Roman"/>
                <w:sz w:val="22"/>
                <w:szCs w:val="22"/>
              </w:rPr>
              <w:t>i trybu udzielania</w:t>
            </w:r>
            <w:r>
              <w:t xml:space="preserve"> </w:t>
            </w:r>
            <w:r w:rsidRPr="00DA560C">
              <w:rPr>
                <w:rFonts w:eastAsia="Times New Roman" w:cs="Times New Roman"/>
                <w:sz w:val="22"/>
                <w:szCs w:val="22"/>
              </w:rPr>
              <w:t xml:space="preserve">pomocy publicznej i pomocy </w:t>
            </w:r>
            <w:r w:rsidRPr="00DA560C">
              <w:rPr>
                <w:rFonts w:eastAsia="Times New Roman" w:cs="Times New Roman"/>
                <w:i/>
                <w:sz w:val="22"/>
                <w:szCs w:val="22"/>
              </w:rPr>
              <w:t>de minimis</w:t>
            </w:r>
            <w:r w:rsidRPr="00DA560C">
              <w:rPr>
                <w:rFonts w:eastAsia="Times New Roman" w:cs="Times New Roman"/>
                <w:sz w:val="22"/>
                <w:szCs w:val="22"/>
              </w:rPr>
              <w:t xml:space="preserve"> w ramach działania 2.3</w:t>
            </w:r>
          </w:p>
        </w:tc>
      </w:tr>
      <w:tr w:rsidR="00371623" w:rsidRPr="00C403F4" w14:paraId="62F20BA6" w14:textId="77777777" w:rsidTr="00E40B69">
        <w:trPr>
          <w:gridAfter w:val="1"/>
          <w:wAfter w:w="10" w:type="dxa"/>
          <w:trHeight w:val="30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16234A9C" w14:textId="77777777" w:rsidR="00371623" w:rsidRPr="008562FE" w:rsidRDefault="00371623" w:rsidP="004B075D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40" w:lineRule="auto"/>
              <w:jc w:val="both"/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</w:pPr>
            <w:r w:rsidRPr="008562FE"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  <w:t>Informacje na temat zakresu, czasu trwania i podsumowanie wyników konsultacji</w:t>
            </w:r>
          </w:p>
        </w:tc>
      </w:tr>
      <w:tr w:rsidR="00371623" w:rsidRPr="00C403F4" w14:paraId="36DAAC07" w14:textId="77777777" w:rsidTr="00E40B69">
        <w:trPr>
          <w:gridAfter w:val="1"/>
          <w:wAfter w:w="10" w:type="dxa"/>
          <w:trHeight w:val="342"/>
        </w:trPr>
        <w:tc>
          <w:tcPr>
            <w:tcW w:w="10937" w:type="dxa"/>
            <w:gridSpan w:val="29"/>
            <w:shd w:val="clear" w:color="auto" w:fill="FFFFFF"/>
          </w:tcPr>
          <w:p w14:paraId="7AB5DC5B" w14:textId="56CDF1DC" w:rsidR="00371623" w:rsidRDefault="00371623" w:rsidP="004B075D">
            <w:pPr>
              <w:widowControl/>
              <w:autoSpaceDE/>
              <w:autoSpaceDN/>
              <w:adjustRightInd/>
              <w:jc w:val="both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765CBD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Projekt zosta</w:t>
            </w:r>
            <w:r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ł</w:t>
            </w:r>
            <w:r w:rsidRPr="00765CBD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 xml:space="preserve"> skierowan</w:t>
            </w:r>
            <w:r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 xml:space="preserve">y do konsultacji publicznych, w tym </w:t>
            </w:r>
            <w:r w:rsidRPr="00765CBD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do podmiotów wskazanych w przepisach o związkach zawodowych, organizacjach pracodawców oraz o Radzie Dialogu Społecznego i innych instytucjach dialogu społecznego</w:t>
            </w:r>
            <w:r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.</w:t>
            </w:r>
            <w:r w:rsidRPr="00765CBD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1661A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Wyniki konsultacji publicznych zosta</w:t>
            </w:r>
            <w:r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ły</w:t>
            </w:r>
            <w:r w:rsidRPr="0001661A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 xml:space="preserve"> </w:t>
            </w:r>
            <w:r w:rsidR="00C03316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omówione</w:t>
            </w:r>
            <w:r w:rsidRPr="0001661A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w raporcie</w:t>
            </w:r>
            <w:r w:rsidRPr="00B75E44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.</w:t>
            </w:r>
            <w:r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 xml:space="preserve"> W toku konsultacji publicznych nie zgłoszono uwag.</w:t>
            </w:r>
          </w:p>
          <w:p w14:paraId="2DD39555" w14:textId="77777777" w:rsidR="00371623" w:rsidRDefault="00371623" w:rsidP="004B075D">
            <w:pPr>
              <w:widowControl/>
              <w:autoSpaceDE/>
              <w:autoSpaceDN/>
              <w:adjustRightInd/>
              <w:jc w:val="both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Projekt w ramach konsultacji publicznych otrzymały:</w:t>
            </w:r>
          </w:p>
          <w:p w14:paraId="2914A48A" w14:textId="77777777" w:rsidR="00371623" w:rsidRPr="00356955" w:rsidRDefault="00371623" w:rsidP="004B075D">
            <w:pPr>
              <w:pStyle w:val="Akapitzlist"/>
              <w:numPr>
                <w:ilvl w:val="0"/>
                <w:numId w:val="23"/>
              </w:numPr>
              <w:spacing w:line="36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356955">
              <w:rPr>
                <w:rFonts w:ascii="Times New Roman" w:hAnsi="Times New Roman"/>
                <w:color w:val="000000"/>
                <w:spacing w:val="-2"/>
              </w:rPr>
              <w:t>Federacja Związków Zawodowych Pracowników Kultury i Sztuki</w:t>
            </w:r>
            <w:r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17F900A0" w14:textId="77777777" w:rsidR="00371623" w:rsidRPr="00356955" w:rsidRDefault="00371623" w:rsidP="004B075D">
            <w:pPr>
              <w:pStyle w:val="Akapitzlist"/>
              <w:numPr>
                <w:ilvl w:val="0"/>
                <w:numId w:val="23"/>
              </w:numPr>
              <w:spacing w:line="36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356955">
              <w:rPr>
                <w:rFonts w:ascii="Times New Roman" w:hAnsi="Times New Roman"/>
                <w:color w:val="000000"/>
                <w:spacing w:val="-2"/>
              </w:rPr>
              <w:t>Fundacja Centrum Cyfrowe</w:t>
            </w:r>
            <w:r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4699C055" w14:textId="77777777" w:rsidR="00371623" w:rsidRPr="00356955" w:rsidRDefault="00371623" w:rsidP="004B075D">
            <w:pPr>
              <w:pStyle w:val="Akapitzlist"/>
              <w:numPr>
                <w:ilvl w:val="0"/>
                <w:numId w:val="23"/>
              </w:numPr>
              <w:spacing w:line="36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356955">
              <w:rPr>
                <w:rFonts w:ascii="Times New Roman" w:hAnsi="Times New Roman"/>
                <w:color w:val="000000"/>
                <w:spacing w:val="-2"/>
              </w:rPr>
              <w:t>Fundacja im. Stefana Batorego</w:t>
            </w:r>
            <w:r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13745E4A" w14:textId="77777777" w:rsidR="00371623" w:rsidRPr="00356955" w:rsidRDefault="00371623" w:rsidP="004B075D">
            <w:pPr>
              <w:pStyle w:val="Akapitzlist"/>
              <w:numPr>
                <w:ilvl w:val="0"/>
                <w:numId w:val="23"/>
              </w:numPr>
              <w:spacing w:line="36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356955">
              <w:rPr>
                <w:rFonts w:ascii="Times New Roman" w:hAnsi="Times New Roman"/>
                <w:color w:val="000000"/>
                <w:spacing w:val="-2"/>
              </w:rPr>
              <w:t>Fundacja Instrat</w:t>
            </w:r>
            <w:r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7251F573" w14:textId="77777777" w:rsidR="00371623" w:rsidRPr="00356955" w:rsidRDefault="00371623" w:rsidP="004B075D">
            <w:pPr>
              <w:pStyle w:val="Akapitzlist"/>
              <w:numPr>
                <w:ilvl w:val="0"/>
                <w:numId w:val="23"/>
              </w:numPr>
              <w:spacing w:line="36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Fundacja Moje Państwo;</w:t>
            </w:r>
          </w:p>
          <w:p w14:paraId="4D42424D" w14:textId="77777777" w:rsidR="00371623" w:rsidRPr="00356955" w:rsidRDefault="00371623" w:rsidP="004B075D">
            <w:pPr>
              <w:pStyle w:val="Akapitzlist"/>
              <w:numPr>
                <w:ilvl w:val="0"/>
                <w:numId w:val="23"/>
              </w:numPr>
              <w:spacing w:line="36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356955">
              <w:rPr>
                <w:rFonts w:ascii="Times New Roman" w:hAnsi="Times New Roman"/>
                <w:color w:val="000000"/>
                <w:spacing w:val="-2"/>
              </w:rPr>
              <w:t>Fundacja OpenStax Poland</w:t>
            </w:r>
            <w:r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01F651D4" w14:textId="77777777" w:rsidR="00371623" w:rsidRPr="00356955" w:rsidRDefault="00371623" w:rsidP="004B075D">
            <w:pPr>
              <w:pStyle w:val="Akapitzlist"/>
              <w:numPr>
                <w:ilvl w:val="0"/>
                <w:numId w:val="23"/>
              </w:numPr>
              <w:spacing w:line="36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356955">
              <w:rPr>
                <w:rFonts w:ascii="Times New Roman" w:hAnsi="Times New Roman"/>
                <w:color w:val="000000"/>
                <w:spacing w:val="-2"/>
              </w:rPr>
              <w:t>Krajowa Izba Gospodarcza Elektroniki i Telekomunikacji</w:t>
            </w:r>
            <w:r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61ADDAED" w14:textId="77777777" w:rsidR="00371623" w:rsidRPr="00356955" w:rsidRDefault="00371623" w:rsidP="004B075D">
            <w:pPr>
              <w:pStyle w:val="Akapitzlist"/>
              <w:numPr>
                <w:ilvl w:val="0"/>
                <w:numId w:val="23"/>
              </w:numPr>
              <w:spacing w:line="36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356955">
              <w:rPr>
                <w:rFonts w:ascii="Times New Roman" w:hAnsi="Times New Roman"/>
                <w:color w:val="000000"/>
                <w:spacing w:val="-2"/>
              </w:rPr>
              <w:t>Krajowa Izba Producentów Audiowizualnych</w:t>
            </w:r>
            <w:r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65B496AE" w14:textId="77777777" w:rsidR="00371623" w:rsidRPr="00356955" w:rsidRDefault="00371623" w:rsidP="004B075D">
            <w:pPr>
              <w:pStyle w:val="Akapitzlist"/>
              <w:numPr>
                <w:ilvl w:val="0"/>
                <w:numId w:val="23"/>
              </w:numPr>
              <w:spacing w:line="36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356955">
              <w:rPr>
                <w:rFonts w:ascii="Times New Roman" w:hAnsi="Times New Roman"/>
                <w:color w:val="000000"/>
                <w:spacing w:val="-2"/>
              </w:rPr>
              <w:t>Polska Izba Informatyki i Telekomunikacji</w:t>
            </w:r>
            <w:r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5C058739" w14:textId="77777777" w:rsidR="00371623" w:rsidRPr="00356955" w:rsidRDefault="00371623" w:rsidP="004B075D">
            <w:pPr>
              <w:pStyle w:val="Akapitzlist"/>
              <w:numPr>
                <w:ilvl w:val="0"/>
                <w:numId w:val="23"/>
              </w:numPr>
              <w:spacing w:line="36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356955">
              <w:rPr>
                <w:rFonts w:ascii="Times New Roman" w:hAnsi="Times New Roman"/>
                <w:color w:val="000000"/>
                <w:spacing w:val="-2"/>
              </w:rPr>
              <w:t>Polska Izba Komunikacji Elektronicznej</w:t>
            </w:r>
            <w:r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5B2172C4" w14:textId="77777777" w:rsidR="00371623" w:rsidRPr="00356955" w:rsidRDefault="00371623" w:rsidP="004B075D">
            <w:pPr>
              <w:pStyle w:val="Akapitzlist"/>
              <w:numPr>
                <w:ilvl w:val="0"/>
                <w:numId w:val="23"/>
              </w:numPr>
              <w:spacing w:line="36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356955">
              <w:rPr>
                <w:rFonts w:ascii="Times New Roman" w:hAnsi="Times New Roman"/>
                <w:color w:val="000000"/>
                <w:spacing w:val="-2"/>
              </w:rPr>
              <w:t>Polskie Towarzystwo Informatyczne</w:t>
            </w:r>
            <w:r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2D3CB9F9" w14:textId="77777777" w:rsidR="00371623" w:rsidRPr="00356955" w:rsidRDefault="00371623" w:rsidP="004B075D">
            <w:pPr>
              <w:pStyle w:val="Akapitzlist"/>
              <w:numPr>
                <w:ilvl w:val="0"/>
                <w:numId w:val="23"/>
              </w:numPr>
              <w:spacing w:line="36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356955">
              <w:rPr>
                <w:rFonts w:ascii="Times New Roman" w:hAnsi="Times New Roman"/>
                <w:color w:val="000000"/>
                <w:spacing w:val="-2"/>
              </w:rPr>
              <w:t>Sieć Obywatelska Watchdog Polska</w:t>
            </w:r>
            <w:r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0DB74719" w14:textId="77777777" w:rsidR="00371623" w:rsidRPr="00356955" w:rsidRDefault="00371623" w:rsidP="004B075D">
            <w:pPr>
              <w:pStyle w:val="Akapitzlist"/>
              <w:numPr>
                <w:ilvl w:val="0"/>
                <w:numId w:val="23"/>
              </w:numPr>
              <w:spacing w:line="36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356955">
              <w:rPr>
                <w:rFonts w:ascii="Times New Roman" w:hAnsi="Times New Roman"/>
                <w:color w:val="000000"/>
                <w:spacing w:val="-2"/>
              </w:rPr>
              <w:t>Stowarzyszenie Autorów i Wydawców COPYRIGHT POLSKA</w:t>
            </w:r>
            <w:r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4B2F420E" w14:textId="77777777" w:rsidR="00371623" w:rsidRPr="00356955" w:rsidRDefault="00371623" w:rsidP="004B075D">
            <w:pPr>
              <w:pStyle w:val="Akapitzlist"/>
              <w:numPr>
                <w:ilvl w:val="0"/>
                <w:numId w:val="23"/>
              </w:numPr>
              <w:spacing w:line="36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356955">
              <w:rPr>
                <w:rFonts w:ascii="Times New Roman" w:hAnsi="Times New Roman"/>
                <w:color w:val="000000"/>
                <w:spacing w:val="-2"/>
              </w:rPr>
              <w:t>Stowarzyszenie autorów ZAiKS</w:t>
            </w:r>
            <w:r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6F05E0DC" w14:textId="77777777" w:rsidR="00371623" w:rsidRPr="00356955" w:rsidRDefault="00371623" w:rsidP="004B075D">
            <w:pPr>
              <w:pStyle w:val="Akapitzlist"/>
              <w:numPr>
                <w:ilvl w:val="0"/>
                <w:numId w:val="23"/>
              </w:numPr>
              <w:spacing w:line="36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356955">
              <w:rPr>
                <w:rFonts w:ascii="Times New Roman" w:hAnsi="Times New Roman"/>
                <w:color w:val="000000"/>
                <w:spacing w:val="-2"/>
              </w:rPr>
              <w:t>Stowarzyszenie Bibliotekarzy Polskich</w:t>
            </w:r>
            <w:r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4F904697" w14:textId="77777777" w:rsidR="00371623" w:rsidRPr="00356955" w:rsidRDefault="00371623" w:rsidP="004B075D">
            <w:pPr>
              <w:pStyle w:val="Akapitzlist"/>
              <w:numPr>
                <w:ilvl w:val="0"/>
                <w:numId w:val="23"/>
              </w:numPr>
              <w:spacing w:line="36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356955">
              <w:rPr>
                <w:rFonts w:ascii="Times New Roman" w:hAnsi="Times New Roman"/>
                <w:color w:val="000000"/>
                <w:spacing w:val="-2"/>
              </w:rPr>
              <w:t>Stowarzyszenie Kreatywna Polska</w:t>
            </w:r>
            <w:r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6CF0F3A2" w14:textId="77777777" w:rsidR="00371623" w:rsidRPr="00356955" w:rsidRDefault="00371623" w:rsidP="004B075D">
            <w:pPr>
              <w:pStyle w:val="Akapitzlist"/>
              <w:numPr>
                <w:ilvl w:val="0"/>
                <w:numId w:val="23"/>
              </w:numPr>
              <w:spacing w:line="36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356955">
              <w:rPr>
                <w:rFonts w:ascii="Times New Roman" w:hAnsi="Times New Roman"/>
                <w:color w:val="000000"/>
                <w:spacing w:val="-2"/>
              </w:rPr>
              <w:t>Stowarzyszenie Muzealników Polskich</w:t>
            </w:r>
            <w:r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72BF7374" w14:textId="77777777" w:rsidR="00371623" w:rsidRPr="00356955" w:rsidRDefault="00371623" w:rsidP="004B075D">
            <w:pPr>
              <w:pStyle w:val="Akapitzlist"/>
              <w:numPr>
                <w:ilvl w:val="0"/>
                <w:numId w:val="23"/>
              </w:numPr>
              <w:spacing w:line="36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356955">
              <w:rPr>
                <w:rFonts w:ascii="Times New Roman" w:hAnsi="Times New Roman"/>
                <w:color w:val="000000"/>
                <w:spacing w:val="-2"/>
              </w:rPr>
              <w:t>Stowarzyszenie OpenStreetMap Polska</w:t>
            </w:r>
            <w:r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35BD0EAB" w14:textId="77777777" w:rsidR="00371623" w:rsidRPr="00356955" w:rsidRDefault="00371623" w:rsidP="004B075D">
            <w:pPr>
              <w:pStyle w:val="Akapitzlist"/>
              <w:numPr>
                <w:ilvl w:val="0"/>
                <w:numId w:val="23"/>
              </w:numPr>
              <w:spacing w:line="36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356955">
              <w:rPr>
                <w:rFonts w:ascii="Times New Roman" w:hAnsi="Times New Roman"/>
                <w:color w:val="000000"/>
                <w:spacing w:val="-2"/>
              </w:rPr>
              <w:t>Związek Importerów i Producentów Sprzętu Elektrycznego i Elektronicznego – ZIPSEE Cyfrowa Polska</w:t>
            </w:r>
            <w:r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30E894C2" w14:textId="5683EDFB" w:rsidR="00371623" w:rsidRDefault="00371623" w:rsidP="004B075D">
            <w:pPr>
              <w:pStyle w:val="Akapitzlist"/>
              <w:numPr>
                <w:ilvl w:val="0"/>
                <w:numId w:val="23"/>
              </w:numPr>
              <w:spacing w:line="36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356955">
              <w:rPr>
                <w:rFonts w:ascii="Times New Roman" w:hAnsi="Times New Roman"/>
                <w:color w:val="000000"/>
                <w:spacing w:val="-2"/>
              </w:rPr>
              <w:t>Związek Pracodawców Branży Internetowej Interactive Advertising Bureau Polska</w:t>
            </w:r>
            <w:r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  <w:p w14:paraId="1E4D902D" w14:textId="7D62BAA8" w:rsidR="00B255C1" w:rsidRPr="00B255C1" w:rsidRDefault="00B255C1" w:rsidP="00B255C1">
            <w:pPr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Projekt przekazany został również do podmiotów właściwych do zaopiniowania projektu, których szczegółowy katalog został wskazany w raporcie z konultacji.</w:t>
            </w:r>
          </w:p>
          <w:p w14:paraId="659F99C3" w14:textId="55317631" w:rsidR="00371623" w:rsidRPr="00C03316" w:rsidRDefault="00C03316" w:rsidP="00C03316">
            <w:pPr>
              <w:rPr>
                <w:sz w:val="22"/>
                <w:szCs w:val="22"/>
              </w:rPr>
            </w:pPr>
            <w:r w:rsidRPr="00445BB0">
              <w:rPr>
                <w:color w:val="000000"/>
                <w:spacing w:val="-2"/>
                <w:sz w:val="22"/>
                <w:szCs w:val="22"/>
              </w:rPr>
              <w:t xml:space="preserve">Projekt został zamieszczony w Biuletynie Informacji Publicznej na stronie podmiotowej Ministra Cyfryzacji </w:t>
            </w:r>
            <w:hyperlink r:id="rId13" w:history="1">
              <w:r w:rsidRPr="00445BB0">
                <w:rPr>
                  <w:rStyle w:val="Hipercze"/>
                  <w:spacing w:val="-2"/>
                  <w:sz w:val="22"/>
                  <w:szCs w:val="22"/>
                </w:rPr>
                <w:t>www.gov.pl/web/cyfryzacja</w:t>
              </w:r>
            </w:hyperlink>
            <w:r w:rsidRPr="00445BB0">
              <w:rPr>
                <w:color w:val="000000"/>
                <w:spacing w:val="-2"/>
                <w:sz w:val="22"/>
                <w:szCs w:val="22"/>
              </w:rPr>
              <w:t>, a także na stronie Rządowego Centrum Legislacji w zakładce Rządowy Proces Legislacyjny.</w:t>
            </w:r>
          </w:p>
        </w:tc>
      </w:tr>
      <w:tr w:rsidR="00371623" w:rsidRPr="00C403F4" w14:paraId="5213A826" w14:textId="77777777" w:rsidTr="00E40B69">
        <w:trPr>
          <w:gridAfter w:val="1"/>
          <w:wAfter w:w="10" w:type="dxa"/>
          <w:trHeight w:val="363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7E064861" w14:textId="77777777" w:rsidR="00371623" w:rsidRPr="002D0F89" w:rsidRDefault="00371623" w:rsidP="004B075D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</w:pPr>
            <w:r w:rsidRPr="002D0F89"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  <w:t xml:space="preserve"> Wpływ na sektor finansów publicznych</w:t>
            </w:r>
          </w:p>
        </w:tc>
      </w:tr>
      <w:tr w:rsidR="00371623" w:rsidRPr="00C403F4" w14:paraId="34A28B8E" w14:textId="77777777" w:rsidTr="00E40B69">
        <w:trPr>
          <w:gridAfter w:val="1"/>
          <w:wAfter w:w="10" w:type="dxa"/>
          <w:trHeight w:val="142"/>
        </w:trPr>
        <w:tc>
          <w:tcPr>
            <w:tcW w:w="3133" w:type="dxa"/>
            <w:gridSpan w:val="4"/>
            <w:vMerge w:val="restart"/>
            <w:shd w:val="clear" w:color="auto" w:fill="FFFFFF"/>
          </w:tcPr>
          <w:p w14:paraId="57269DD5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before="40" w:after="40" w:line="276" w:lineRule="auto"/>
              <w:rPr>
                <w:rFonts w:eastAsia="Calibri" w:cs="Times New Roman"/>
                <w:i/>
                <w:color w:val="000000"/>
                <w:sz w:val="21"/>
                <w:szCs w:val="21"/>
                <w:lang w:eastAsia="en-US"/>
              </w:rPr>
            </w:pPr>
            <w:r w:rsidRPr="002D0F8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(ceny stałe z …… r.)</w:t>
            </w:r>
          </w:p>
        </w:tc>
        <w:tc>
          <w:tcPr>
            <w:tcW w:w="7804" w:type="dxa"/>
            <w:gridSpan w:val="25"/>
            <w:shd w:val="clear" w:color="auto" w:fill="FFFFFF"/>
          </w:tcPr>
          <w:p w14:paraId="7F81E105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before="40" w:after="40" w:line="240" w:lineRule="auto"/>
              <w:jc w:val="center"/>
              <w:rPr>
                <w:rFonts w:eastAsia="Calibri" w:cs="Times New Roman"/>
                <w:i/>
                <w:color w:val="000000"/>
                <w:spacing w:val="-2"/>
                <w:sz w:val="21"/>
                <w:szCs w:val="21"/>
                <w:lang w:eastAsia="en-US"/>
              </w:rPr>
            </w:pPr>
            <w:r w:rsidRPr="002D0F8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Skutki w okresie 10 lat od wejścia w życie zmian [mln zł]</w:t>
            </w:r>
          </w:p>
        </w:tc>
      </w:tr>
      <w:tr w:rsidR="00371623" w:rsidRPr="00C403F4" w14:paraId="2D0BEAEF" w14:textId="77777777" w:rsidTr="00E40B69">
        <w:trPr>
          <w:gridAfter w:val="1"/>
          <w:wAfter w:w="10" w:type="dxa"/>
          <w:trHeight w:val="142"/>
        </w:trPr>
        <w:tc>
          <w:tcPr>
            <w:tcW w:w="3133" w:type="dxa"/>
            <w:gridSpan w:val="4"/>
            <w:vMerge/>
            <w:shd w:val="clear" w:color="auto" w:fill="FFFFFF"/>
          </w:tcPr>
          <w:p w14:paraId="5AD0A179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before="40" w:after="40" w:line="240" w:lineRule="auto"/>
              <w:rPr>
                <w:rFonts w:eastAsia="Calibri" w:cs="Times New Roman"/>
                <w:i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14:paraId="10CF8576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2D0F8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43FC5EE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2D0F8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D98E892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2D0F8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E1EE9DB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2D0F8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2FE2E9B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2D0F8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4</w:t>
            </w:r>
          </w:p>
        </w:tc>
        <w:tc>
          <w:tcPr>
            <w:tcW w:w="570" w:type="dxa"/>
            <w:shd w:val="clear" w:color="auto" w:fill="FFFFFF"/>
          </w:tcPr>
          <w:p w14:paraId="7C4EC50D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2D0F8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74EA6E45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2D0F8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6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6095324B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2D0F8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7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6B7505F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2D0F8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8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1932048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2D0F8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9</w:t>
            </w:r>
          </w:p>
        </w:tc>
        <w:tc>
          <w:tcPr>
            <w:tcW w:w="570" w:type="dxa"/>
            <w:shd w:val="clear" w:color="auto" w:fill="FFFFFF"/>
          </w:tcPr>
          <w:p w14:paraId="144A46D8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2D0F8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10</w:t>
            </w:r>
          </w:p>
        </w:tc>
        <w:tc>
          <w:tcPr>
            <w:tcW w:w="1537" w:type="dxa"/>
            <w:gridSpan w:val="2"/>
            <w:shd w:val="clear" w:color="auto" w:fill="FFFFFF"/>
          </w:tcPr>
          <w:p w14:paraId="008C9A66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before="40" w:after="40" w:line="240" w:lineRule="auto"/>
              <w:jc w:val="center"/>
              <w:rPr>
                <w:rFonts w:eastAsia="Calibri" w:cs="Times New Roman"/>
                <w:i/>
                <w:color w:val="000000"/>
                <w:spacing w:val="-2"/>
                <w:sz w:val="21"/>
                <w:szCs w:val="21"/>
                <w:lang w:eastAsia="en-US"/>
              </w:rPr>
            </w:pPr>
            <w:r w:rsidRPr="002D0F89">
              <w:rPr>
                <w:rFonts w:eastAsia="Calibri" w:cs="Times New Roman"/>
                <w:i/>
                <w:color w:val="000000"/>
                <w:spacing w:val="-2"/>
                <w:sz w:val="21"/>
                <w:szCs w:val="21"/>
                <w:lang w:eastAsia="en-US"/>
              </w:rPr>
              <w:t>Łącznie (0-10)</w:t>
            </w:r>
          </w:p>
        </w:tc>
      </w:tr>
      <w:tr w:rsidR="00371623" w:rsidRPr="00C403F4" w14:paraId="1251BA7A" w14:textId="77777777" w:rsidTr="00E40B69">
        <w:trPr>
          <w:trHeight w:val="321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3D40AF4A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2D0F89">
              <w:rPr>
                <w:rFonts w:eastAsia="Calibri" w:cs="Times New Roman"/>
                <w:b/>
                <w:color w:val="000000"/>
                <w:sz w:val="21"/>
                <w:szCs w:val="21"/>
                <w:lang w:eastAsia="en-US"/>
              </w:rPr>
              <w:t>Dochody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75916E67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74556B5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A1C502B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5B3C6978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7A7175B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037D414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18CFCAD3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6A4C608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A4E28C1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37E33BB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B934893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0C541FB9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1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pacing w:val="-2"/>
                <w:sz w:val="21"/>
                <w:szCs w:val="21"/>
                <w:lang w:eastAsia="en-US"/>
              </w:rPr>
              <w:t>0</w:t>
            </w:r>
          </w:p>
        </w:tc>
      </w:tr>
      <w:tr w:rsidR="00371623" w:rsidRPr="00C403F4" w14:paraId="589B7645" w14:textId="77777777" w:rsidTr="00E40B69">
        <w:trPr>
          <w:trHeight w:val="321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646B8B9F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2D0F8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CD84089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F307F37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28D4AB4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6177C08B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A227694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72BDCB1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58BE2C5E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2B90996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FB1877F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8A80255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06E3FA3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408C1201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1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pacing w:val="-2"/>
                <w:sz w:val="21"/>
                <w:szCs w:val="21"/>
                <w:lang w:eastAsia="en-US"/>
              </w:rPr>
              <w:t>0</w:t>
            </w:r>
          </w:p>
        </w:tc>
      </w:tr>
      <w:tr w:rsidR="00371623" w:rsidRPr="00C403F4" w14:paraId="54825565" w14:textId="77777777" w:rsidTr="00E40B69">
        <w:trPr>
          <w:trHeight w:val="344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5F1520F6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2D0F8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JST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489E6CC9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0C038AF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94B46FF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7EF9209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EF6F6A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CC229B5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FC6AE58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541B122D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2D9528A2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E4491FD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7A16729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5FF57FA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6FDEE19E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</w:tr>
      <w:tr w:rsidR="00371623" w:rsidRPr="00C403F4" w14:paraId="6DF9B255" w14:textId="77777777" w:rsidTr="00E40B69">
        <w:trPr>
          <w:trHeight w:val="344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2712EC38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2D0F8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1BFCE2BC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F92F739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42336FF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6601C70D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EF6F6A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D3E2592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43448CE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64D9B690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F3DA734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B443727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304B507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6A18990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6E271FBE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</w:tr>
      <w:tr w:rsidR="00371623" w:rsidRPr="00C403F4" w14:paraId="0E344940" w14:textId="77777777" w:rsidTr="00E40B69">
        <w:trPr>
          <w:trHeight w:val="330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1F3B5FE4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2D0F89">
              <w:rPr>
                <w:rFonts w:eastAsia="Calibri" w:cs="Times New Roman"/>
                <w:b/>
                <w:color w:val="000000"/>
                <w:sz w:val="21"/>
                <w:szCs w:val="21"/>
                <w:lang w:eastAsia="en-US"/>
              </w:rPr>
              <w:t>Wydatki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43DA6ECB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DD927BB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ED5FD6F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268769E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EF6F6A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C9B8FCC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6E85D73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7B55E488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292D3ADB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737AA5E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D8FA493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AA97FBB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63960B16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</w:tr>
      <w:tr w:rsidR="00371623" w:rsidRPr="00C403F4" w14:paraId="48F2F232" w14:textId="77777777" w:rsidTr="00E40B69">
        <w:trPr>
          <w:trHeight w:val="330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06EAD234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2D0F8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798EBFF9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4679E4D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630F113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5E9D3E8A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EF6F6A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1752FC4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7B640CE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5E0E711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600D54E9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A7F5166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1629F55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F873B4C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41FAAE06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</w:tr>
      <w:tr w:rsidR="00371623" w:rsidRPr="00C403F4" w14:paraId="757C242F" w14:textId="77777777" w:rsidTr="00E40B69">
        <w:trPr>
          <w:trHeight w:val="351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2B425616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2D0F8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JST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AED4F61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D0AF75B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8C043F6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62FC0F67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EF6F6A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AE7D6DA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B2A73BD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16A6EDF5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D0390BF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CD4A077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41CCE18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01B58E5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042E0B82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</w:tr>
      <w:tr w:rsidR="00371623" w:rsidRPr="00C403F4" w14:paraId="37C11FE8" w14:textId="77777777" w:rsidTr="00E40B69">
        <w:trPr>
          <w:trHeight w:val="351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3685147D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2D0F8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A6FCB2A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DD1D63D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6149CAF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2FCB93BB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EF6F6A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FEF4294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8D9F2D9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2C462276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9A4C21D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0B7A3AE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00F3F8E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405C8EE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4CFA41F5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</w:tr>
      <w:tr w:rsidR="00371623" w:rsidRPr="00C403F4" w14:paraId="3C189E34" w14:textId="77777777" w:rsidTr="00E40B69">
        <w:trPr>
          <w:trHeight w:val="360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06F1E133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2D0F89">
              <w:rPr>
                <w:rFonts w:eastAsia="Calibri" w:cs="Times New Roman"/>
                <w:b/>
                <w:color w:val="000000"/>
                <w:sz w:val="21"/>
                <w:szCs w:val="21"/>
                <w:lang w:eastAsia="en-US"/>
              </w:rPr>
              <w:t>Saldo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85913CF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C599B1A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4A02968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F616960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EF6F6A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714659D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48AF46E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61CFE2DF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F3F66B7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E54754A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92466A2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4822B06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60B9344F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</w:tr>
      <w:tr w:rsidR="00371623" w:rsidRPr="00C403F4" w14:paraId="0A30A806" w14:textId="77777777" w:rsidTr="00E40B69">
        <w:trPr>
          <w:trHeight w:val="360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177A1320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2D0F8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413C6B1F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5E65C74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1759FF7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88687B2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EF6F6A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C107DA6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FB115CF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179E6B23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380D563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0870F3A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860233A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B3424FC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4A7BCB3C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</w:tr>
      <w:tr w:rsidR="00371623" w:rsidRPr="00C403F4" w14:paraId="39A2281D" w14:textId="77777777" w:rsidTr="00E40B69">
        <w:trPr>
          <w:trHeight w:val="357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07AA9EE3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2D0F8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JST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379E207D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85133D3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E3E0C60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5D6DC033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EF6F6A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6735225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1234BAE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621B1DD0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55398F7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32024DB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332B953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BFCA833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26CDA0E5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</w:tr>
      <w:tr w:rsidR="00371623" w:rsidRPr="00C403F4" w14:paraId="206362C5" w14:textId="77777777" w:rsidTr="00E40B69">
        <w:trPr>
          <w:trHeight w:val="357"/>
        </w:trPr>
        <w:tc>
          <w:tcPr>
            <w:tcW w:w="3133" w:type="dxa"/>
            <w:gridSpan w:val="4"/>
            <w:shd w:val="clear" w:color="auto" w:fill="FFFFFF"/>
            <w:vAlign w:val="center"/>
          </w:tcPr>
          <w:p w14:paraId="1CE9BFD9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2D0F8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4E719D1B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7A4F444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E3BBE48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24FF8116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EF6F6A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907F3EB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12570C9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5464B6F2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6CB3948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D61510E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96F4E05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E10D7AF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F0BF3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372EFB17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</w:tr>
      <w:tr w:rsidR="00371623" w:rsidRPr="00C403F4" w14:paraId="23B086CC" w14:textId="77777777" w:rsidTr="00E40B69">
        <w:trPr>
          <w:gridAfter w:val="1"/>
          <w:wAfter w:w="10" w:type="dxa"/>
          <w:trHeight w:val="348"/>
        </w:trPr>
        <w:tc>
          <w:tcPr>
            <w:tcW w:w="2243" w:type="dxa"/>
            <w:gridSpan w:val="2"/>
            <w:shd w:val="clear" w:color="auto" w:fill="FFFFFF"/>
            <w:vAlign w:val="center"/>
          </w:tcPr>
          <w:p w14:paraId="1FD0E900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2D0F8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Źródła finansowania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14:paraId="2C8758C7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contextualSpacing/>
              <w:jc w:val="both"/>
              <w:rPr>
                <w:rFonts w:eastAsia="Calibri" w:cs="Times New Roman"/>
                <w:sz w:val="21"/>
                <w:szCs w:val="21"/>
                <w:lang w:eastAsia="en-US"/>
              </w:rPr>
            </w:pPr>
          </w:p>
          <w:p w14:paraId="5F659179" w14:textId="77777777" w:rsidR="00371623" w:rsidRPr="002F4B11" w:rsidRDefault="00371623" w:rsidP="004B075D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2F4B11">
              <w:rPr>
                <w:sz w:val="22"/>
                <w:szCs w:val="22"/>
              </w:rPr>
              <w:t>Nie dotyczy.</w:t>
            </w:r>
          </w:p>
          <w:p w14:paraId="568ABE39" w14:textId="77777777" w:rsidR="00371623" w:rsidRPr="002D0F89" w:rsidRDefault="00371623" w:rsidP="004B075D">
            <w:pPr>
              <w:spacing w:line="240" w:lineRule="auto"/>
              <w:jc w:val="both"/>
              <w:rPr>
                <w:rFonts w:eastAsia="Times New Roman"/>
                <w:sz w:val="21"/>
                <w:szCs w:val="21"/>
              </w:rPr>
            </w:pPr>
          </w:p>
        </w:tc>
      </w:tr>
      <w:tr w:rsidR="00371623" w:rsidRPr="00C403F4" w14:paraId="18A2CCC8" w14:textId="77777777" w:rsidTr="00E40B69">
        <w:trPr>
          <w:gridAfter w:val="1"/>
          <w:wAfter w:w="10" w:type="dxa"/>
          <w:trHeight w:val="1261"/>
        </w:trPr>
        <w:tc>
          <w:tcPr>
            <w:tcW w:w="2243" w:type="dxa"/>
            <w:gridSpan w:val="2"/>
            <w:shd w:val="clear" w:color="auto" w:fill="FFFFFF"/>
          </w:tcPr>
          <w:p w14:paraId="462FFDC6" w14:textId="77777777" w:rsidR="00371623" w:rsidRPr="002D0F89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2D0F89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Dodatkowe informacje, w tym wskazanie źródeł danych i przyjętych do obliczeń założeń</w:t>
            </w:r>
          </w:p>
        </w:tc>
        <w:tc>
          <w:tcPr>
            <w:tcW w:w="8694" w:type="dxa"/>
            <w:gridSpan w:val="27"/>
            <w:shd w:val="clear" w:color="auto" w:fill="FFFFFF"/>
          </w:tcPr>
          <w:p w14:paraId="3A278194" w14:textId="77777777" w:rsidR="00371623" w:rsidRPr="002D0F89" w:rsidRDefault="00371623" w:rsidP="004B075D">
            <w:pPr>
              <w:contextualSpacing/>
              <w:jc w:val="both"/>
              <w:rPr>
                <w:rFonts w:eastAsia="Calibri" w:cs="Times New Roman"/>
                <w:sz w:val="21"/>
                <w:szCs w:val="21"/>
                <w:lang w:eastAsia="en-US"/>
              </w:rPr>
            </w:pPr>
            <w:r w:rsidRPr="002F4B11">
              <w:rPr>
                <w:rFonts w:eastAsia="Calibri" w:cs="Times New Roman"/>
                <w:sz w:val="21"/>
                <w:szCs w:val="21"/>
                <w:lang w:eastAsia="en-US"/>
              </w:rPr>
              <w:t>Projektowane rozporządzenie samoistnie nie rodzi skutków</w:t>
            </w:r>
            <w:r>
              <w:rPr>
                <w:rFonts w:eastAsia="Calibri" w:cs="Times New Roman"/>
                <w:sz w:val="21"/>
                <w:szCs w:val="21"/>
                <w:lang w:eastAsia="en-US"/>
              </w:rPr>
              <w:t xml:space="preserve"> </w:t>
            </w:r>
            <w:r w:rsidRPr="002F4B11">
              <w:rPr>
                <w:rFonts w:eastAsia="Calibri" w:cs="Times New Roman"/>
                <w:sz w:val="21"/>
                <w:szCs w:val="21"/>
                <w:lang w:eastAsia="en-US"/>
              </w:rPr>
              <w:t>finansowych dla sektora finansów publicznych.</w:t>
            </w:r>
            <w:r>
              <w:rPr>
                <w:rFonts w:eastAsia="Calibri" w:cs="Times New Roman"/>
                <w:sz w:val="21"/>
                <w:szCs w:val="21"/>
                <w:lang w:eastAsia="en-US"/>
              </w:rPr>
              <w:t xml:space="preserve"> </w:t>
            </w:r>
            <w:r w:rsidRPr="002D0F89">
              <w:rPr>
                <w:rFonts w:eastAsia="Calibri" w:cs="Times New Roman"/>
                <w:sz w:val="21"/>
                <w:szCs w:val="21"/>
                <w:lang w:eastAsia="en-US"/>
              </w:rPr>
              <w:t xml:space="preserve">Środki przewidziane na wsparcie </w:t>
            </w:r>
            <w:r>
              <w:rPr>
                <w:rFonts w:eastAsia="Calibri" w:cs="Times New Roman"/>
                <w:sz w:val="21"/>
                <w:szCs w:val="21"/>
                <w:lang w:eastAsia="en-US"/>
              </w:rPr>
              <w:t xml:space="preserve">w ramach pomocy publicznej i pomocy </w:t>
            </w:r>
            <w:r w:rsidRPr="001A3850">
              <w:rPr>
                <w:rFonts w:eastAsia="Calibri" w:cs="Times New Roman"/>
                <w:i/>
                <w:sz w:val="21"/>
                <w:szCs w:val="21"/>
                <w:lang w:eastAsia="en-US"/>
              </w:rPr>
              <w:t>de minimis</w:t>
            </w:r>
            <w:r>
              <w:rPr>
                <w:rFonts w:eastAsia="Calibri" w:cs="Times New Roman"/>
                <w:sz w:val="21"/>
                <w:szCs w:val="21"/>
                <w:lang w:eastAsia="en-US"/>
              </w:rPr>
              <w:t xml:space="preserve"> opisane w </w:t>
            </w:r>
            <w:r w:rsidRPr="002D0F89">
              <w:rPr>
                <w:rFonts w:eastAsia="Calibri" w:cs="Times New Roman"/>
                <w:sz w:val="21"/>
                <w:szCs w:val="21"/>
                <w:lang w:eastAsia="en-US"/>
              </w:rPr>
              <w:t xml:space="preserve">projektowanym rozporządzeniu zostały określone </w:t>
            </w:r>
            <w:r>
              <w:rPr>
                <w:rFonts w:eastAsia="Calibri" w:cs="Times New Roman"/>
                <w:sz w:val="21"/>
                <w:szCs w:val="21"/>
                <w:lang w:eastAsia="en-US"/>
              </w:rPr>
              <w:t xml:space="preserve">w </w:t>
            </w:r>
            <w:r w:rsidRPr="002D0F89">
              <w:rPr>
                <w:rFonts w:eastAsia="Calibri" w:cs="Times New Roman"/>
                <w:sz w:val="21"/>
                <w:szCs w:val="21"/>
                <w:lang w:eastAsia="en-US"/>
              </w:rPr>
              <w:t xml:space="preserve">ramach </w:t>
            </w:r>
            <w:r>
              <w:rPr>
                <w:rFonts w:eastAsia="Calibri" w:cs="Times New Roman"/>
                <w:sz w:val="21"/>
                <w:szCs w:val="21"/>
                <w:lang w:eastAsia="en-US"/>
              </w:rPr>
              <w:t>FERC.</w:t>
            </w:r>
          </w:p>
        </w:tc>
      </w:tr>
      <w:tr w:rsidR="00371623" w:rsidRPr="00C403F4" w14:paraId="0BADF058" w14:textId="77777777" w:rsidTr="00E40B69">
        <w:trPr>
          <w:gridAfter w:val="1"/>
          <w:wAfter w:w="10" w:type="dxa"/>
          <w:trHeight w:val="345"/>
        </w:trPr>
        <w:tc>
          <w:tcPr>
            <w:tcW w:w="10937" w:type="dxa"/>
            <w:gridSpan w:val="29"/>
            <w:shd w:val="clear" w:color="auto" w:fill="99CCFF"/>
          </w:tcPr>
          <w:p w14:paraId="3896C91B" w14:textId="77777777" w:rsidR="00371623" w:rsidRPr="008562FE" w:rsidRDefault="00371623" w:rsidP="004B075D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120" w:after="120" w:line="240" w:lineRule="auto"/>
              <w:jc w:val="both"/>
              <w:rPr>
                <w:rFonts w:eastAsia="Calibri" w:cs="Times New Roman"/>
                <w:b/>
                <w:color w:val="000000"/>
                <w:spacing w:val="-2"/>
                <w:sz w:val="22"/>
                <w:szCs w:val="22"/>
                <w:lang w:eastAsia="en-US"/>
              </w:rPr>
            </w:pPr>
            <w:r w:rsidRPr="008562FE">
              <w:rPr>
                <w:rFonts w:eastAsia="Calibri" w:cs="Times New Roman"/>
                <w:b/>
                <w:color w:val="000000"/>
                <w:spacing w:val="-2"/>
                <w:sz w:val="22"/>
                <w:szCs w:val="22"/>
                <w:lang w:eastAsia="en-US"/>
              </w:rPr>
              <w:t xml:space="preserve">Wpływ na </w:t>
            </w:r>
            <w:r w:rsidRPr="008562FE"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  <w:t>konkurencyjność gospodarki i przedsiębiorczość, w tym funkcjonowanie przedsiębiorców oraz na rodzinę, obywateli i gospodarstwa domowe</w:t>
            </w:r>
          </w:p>
        </w:tc>
      </w:tr>
      <w:tr w:rsidR="00371623" w:rsidRPr="00C403F4" w14:paraId="745FC6E6" w14:textId="77777777" w:rsidTr="00E40B69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2AEA2A26" w14:textId="77777777" w:rsidR="00371623" w:rsidRPr="008E3716" w:rsidRDefault="00371623" w:rsidP="004B07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pacing w:val="-2"/>
                <w:sz w:val="21"/>
                <w:szCs w:val="21"/>
                <w:lang w:eastAsia="en-US"/>
              </w:rPr>
            </w:pPr>
            <w:r w:rsidRPr="008E3716">
              <w:rPr>
                <w:rFonts w:eastAsia="Calibri" w:cs="Times New Roman"/>
                <w:color w:val="000000"/>
                <w:spacing w:val="-2"/>
                <w:sz w:val="21"/>
                <w:szCs w:val="21"/>
                <w:lang w:eastAsia="en-US"/>
              </w:rPr>
              <w:t>Skutki</w:t>
            </w:r>
          </w:p>
        </w:tc>
      </w:tr>
      <w:tr w:rsidR="00371623" w:rsidRPr="00C403F4" w14:paraId="16969333" w14:textId="77777777" w:rsidTr="00E40B69">
        <w:trPr>
          <w:gridAfter w:val="1"/>
          <w:wAfter w:w="10" w:type="dxa"/>
          <w:trHeight w:val="142"/>
        </w:trPr>
        <w:tc>
          <w:tcPr>
            <w:tcW w:w="3889" w:type="dxa"/>
            <w:gridSpan w:val="7"/>
            <w:shd w:val="clear" w:color="auto" w:fill="FFFFFF"/>
          </w:tcPr>
          <w:p w14:paraId="195E5041" w14:textId="77777777" w:rsidR="00371623" w:rsidRPr="008E3716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8E3716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Czas w latach od wejścia w życie zmian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52399A44" w14:textId="77777777" w:rsidR="00371623" w:rsidRPr="008E3716" w:rsidRDefault="00371623" w:rsidP="004B07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8E3716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0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06DFF594" w14:textId="77777777" w:rsidR="00371623" w:rsidRPr="008E3716" w:rsidRDefault="00371623" w:rsidP="004B07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8E3716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58DCDE32" w14:textId="77777777" w:rsidR="00371623" w:rsidRPr="008E3716" w:rsidRDefault="00371623" w:rsidP="004B07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8E3716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2C44FD2E" w14:textId="77777777" w:rsidR="00371623" w:rsidRPr="008E3716" w:rsidRDefault="00371623" w:rsidP="004B07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8E3716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6DB19F75" w14:textId="77777777" w:rsidR="00371623" w:rsidRPr="008E3716" w:rsidRDefault="00371623" w:rsidP="004B07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8E3716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5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523F2BDC" w14:textId="77777777" w:rsidR="00371623" w:rsidRPr="008E3716" w:rsidRDefault="00371623" w:rsidP="004B07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8E3716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10</w:t>
            </w:r>
          </w:p>
        </w:tc>
        <w:tc>
          <w:tcPr>
            <w:tcW w:w="1422" w:type="dxa"/>
            <w:shd w:val="clear" w:color="auto" w:fill="FFFFFF"/>
          </w:tcPr>
          <w:p w14:paraId="5C82878A" w14:textId="77777777" w:rsidR="00371623" w:rsidRPr="008E3716" w:rsidRDefault="00371623" w:rsidP="004B07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i/>
                <w:color w:val="000000"/>
                <w:spacing w:val="-2"/>
                <w:sz w:val="21"/>
                <w:szCs w:val="21"/>
                <w:lang w:eastAsia="en-US"/>
              </w:rPr>
            </w:pPr>
            <w:r w:rsidRPr="008E3716">
              <w:rPr>
                <w:rFonts w:eastAsia="Calibri" w:cs="Times New Roman"/>
                <w:i/>
                <w:color w:val="000000"/>
                <w:spacing w:val="-2"/>
                <w:sz w:val="21"/>
                <w:szCs w:val="21"/>
                <w:lang w:eastAsia="en-US"/>
              </w:rPr>
              <w:t>Łącznie</w:t>
            </w:r>
            <w:r w:rsidRPr="008E3716" w:rsidDel="0073273A">
              <w:rPr>
                <w:rFonts w:eastAsia="Calibri" w:cs="Times New Roman"/>
                <w:i/>
                <w:color w:val="000000"/>
                <w:spacing w:val="-2"/>
                <w:sz w:val="21"/>
                <w:szCs w:val="21"/>
                <w:lang w:eastAsia="en-US"/>
              </w:rPr>
              <w:t xml:space="preserve"> </w:t>
            </w:r>
            <w:r w:rsidRPr="008E3716">
              <w:rPr>
                <w:rFonts w:eastAsia="Calibri" w:cs="Times New Roman"/>
                <w:i/>
                <w:color w:val="000000"/>
                <w:spacing w:val="-2"/>
                <w:sz w:val="21"/>
                <w:szCs w:val="21"/>
                <w:lang w:eastAsia="en-US"/>
              </w:rPr>
              <w:t>(0-10)</w:t>
            </w:r>
          </w:p>
        </w:tc>
      </w:tr>
      <w:tr w:rsidR="00371623" w:rsidRPr="00C403F4" w14:paraId="2AD9B196" w14:textId="77777777" w:rsidTr="00E40B69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2999CBBE" w14:textId="77777777" w:rsidR="00371623" w:rsidRPr="008E3716" w:rsidRDefault="00371623" w:rsidP="004B075D">
            <w:pPr>
              <w:widowControl/>
              <w:autoSpaceDE/>
              <w:autoSpaceDN/>
              <w:adjustRightInd/>
              <w:spacing w:line="276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8E3716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W ujęciu pieniężnym</w:t>
            </w:r>
          </w:p>
          <w:p w14:paraId="0C2A050E" w14:textId="77777777" w:rsidR="00371623" w:rsidRPr="008E3716" w:rsidRDefault="00371623" w:rsidP="004B075D">
            <w:pPr>
              <w:widowControl/>
              <w:autoSpaceDE/>
              <w:autoSpaceDN/>
              <w:adjustRightInd/>
              <w:spacing w:line="276" w:lineRule="auto"/>
              <w:rPr>
                <w:rFonts w:eastAsia="Calibri" w:cs="Times New Roman"/>
                <w:spacing w:val="-2"/>
                <w:sz w:val="21"/>
                <w:szCs w:val="21"/>
                <w:lang w:eastAsia="en-US"/>
              </w:rPr>
            </w:pPr>
            <w:r w:rsidRPr="008E3716">
              <w:rPr>
                <w:rFonts w:eastAsia="Calibri" w:cs="Times New Roman"/>
                <w:spacing w:val="-2"/>
                <w:sz w:val="21"/>
                <w:szCs w:val="21"/>
                <w:lang w:eastAsia="en-US"/>
              </w:rPr>
              <w:t xml:space="preserve">(w mln zł, </w:t>
            </w:r>
          </w:p>
          <w:p w14:paraId="43109312" w14:textId="77777777" w:rsidR="00371623" w:rsidRPr="008E3716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8E3716">
              <w:rPr>
                <w:rFonts w:eastAsia="Calibri" w:cs="Times New Roman"/>
                <w:spacing w:val="-2"/>
                <w:sz w:val="21"/>
                <w:szCs w:val="21"/>
                <w:lang w:eastAsia="en-US"/>
              </w:rPr>
              <w:t>ceny stałe z …… r.)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6DE70116" w14:textId="77777777" w:rsidR="00371623" w:rsidRPr="008E3716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8E3716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duże przedsiębiorstwa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5221AA3E" w14:textId="77777777" w:rsidR="00371623" w:rsidRPr="008E3716" w:rsidRDefault="00371623" w:rsidP="004B075D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708CF319" w14:textId="77777777" w:rsidR="00371623" w:rsidRPr="008E3716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37F7F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6A56F978" w14:textId="77777777" w:rsidR="00371623" w:rsidRPr="008E3716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37F7F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25AD664F" w14:textId="77777777" w:rsidR="00371623" w:rsidRPr="008E3716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37F7F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083AA5E4" w14:textId="77777777" w:rsidR="00371623" w:rsidRPr="008E3716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37F7F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4CFAD05A" w14:textId="77777777" w:rsidR="00371623" w:rsidRPr="008E3716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37F7F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4D17F332" w14:textId="77777777" w:rsidR="00371623" w:rsidRPr="008E3716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1"/>
                <w:szCs w:val="21"/>
                <w:lang w:eastAsia="en-US"/>
              </w:rPr>
            </w:pPr>
            <w:r w:rsidRPr="00937F7F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</w:tr>
      <w:tr w:rsidR="00371623" w:rsidRPr="00C403F4" w14:paraId="66395BB1" w14:textId="77777777" w:rsidTr="00E40B69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7C7E9AF5" w14:textId="77777777" w:rsidR="00371623" w:rsidRPr="008E3716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200BB68C" w14:textId="77777777" w:rsidR="00371623" w:rsidRPr="008E3716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8E3716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sektor mikro-, małych i średnich przedsiębiorstw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7C66D0FA" w14:textId="77777777" w:rsidR="00371623" w:rsidRPr="008E3716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AA4DDE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0F6C08E6" w14:textId="77777777" w:rsidR="00371623" w:rsidRPr="008E3716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37F7F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3E9E1F9E" w14:textId="77777777" w:rsidR="00371623" w:rsidRPr="008E3716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37F7F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532FD5DA" w14:textId="77777777" w:rsidR="00371623" w:rsidRPr="008E3716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37F7F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6D2BE3C9" w14:textId="77777777" w:rsidR="00371623" w:rsidRPr="008E3716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37F7F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47CE7CD2" w14:textId="77777777" w:rsidR="00371623" w:rsidRPr="008E3716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37F7F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57976638" w14:textId="77777777" w:rsidR="00371623" w:rsidRPr="008E3716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1"/>
                <w:szCs w:val="21"/>
                <w:lang w:eastAsia="en-US"/>
              </w:rPr>
            </w:pPr>
            <w:r w:rsidRPr="00937F7F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</w:tr>
      <w:tr w:rsidR="00371623" w:rsidRPr="00C403F4" w14:paraId="34E11F76" w14:textId="77777777" w:rsidTr="00E40B69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417F7DFA" w14:textId="77777777" w:rsidR="00371623" w:rsidRPr="008E3716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5310B025" w14:textId="77777777" w:rsidR="00371623" w:rsidRPr="008E3716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8E3716">
              <w:rPr>
                <w:rFonts w:eastAsia="Calibri" w:cs="Times New Roman"/>
                <w:sz w:val="21"/>
                <w:szCs w:val="21"/>
                <w:lang w:eastAsia="en-US"/>
              </w:rPr>
              <w:t>rodzina, obywatele oraz gospodarstwa domowe, osoby starsze i niepełnosprawne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42424A7E" w14:textId="77777777" w:rsidR="00371623" w:rsidRPr="008E3716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AA4DDE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04308F74" w14:textId="77777777" w:rsidR="00371623" w:rsidRPr="008E3716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37F7F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55FC1A26" w14:textId="77777777" w:rsidR="00371623" w:rsidRPr="008E3716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37F7F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438408CF" w14:textId="77777777" w:rsidR="00371623" w:rsidRPr="008E3716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37F7F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3B52C158" w14:textId="77777777" w:rsidR="00371623" w:rsidRPr="008E3716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37F7F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70D02621" w14:textId="77777777" w:rsidR="00371623" w:rsidRPr="008E3716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37F7F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7C53C608" w14:textId="77777777" w:rsidR="00371623" w:rsidRPr="008E3716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1"/>
                <w:szCs w:val="21"/>
                <w:lang w:eastAsia="en-US"/>
              </w:rPr>
            </w:pPr>
            <w:r w:rsidRPr="00937F7F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</w:tr>
      <w:tr w:rsidR="00371623" w:rsidRPr="00C403F4" w14:paraId="18618A8D" w14:textId="77777777" w:rsidTr="00E40B69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3B80C3C4" w14:textId="77777777" w:rsidR="00371623" w:rsidRPr="008E3716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55E2FE22" w14:textId="77777777" w:rsidR="00371623" w:rsidRPr="008E3716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8E3716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8E3716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instrText xml:space="preserve"> FORMTEXT </w:instrText>
            </w:r>
            <w:r w:rsidRPr="008E3716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r>
            <w:r w:rsidRPr="008E3716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fldChar w:fldCharType="separate"/>
            </w:r>
            <w:r w:rsidRPr="008E3716">
              <w:rPr>
                <w:rFonts w:eastAsia="Calibri" w:cs="Times New Roman"/>
                <w:noProof/>
                <w:color w:val="000000"/>
                <w:sz w:val="21"/>
                <w:szCs w:val="21"/>
                <w:lang w:eastAsia="en-US"/>
              </w:rPr>
              <w:t>(dodaj/usuń)</w:t>
            </w:r>
            <w:r w:rsidRPr="008E3716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fldChar w:fldCharType="end"/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003C4695" w14:textId="77777777" w:rsidR="00371623" w:rsidRPr="008E3716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AA4DDE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236C68A5" w14:textId="77777777" w:rsidR="00371623" w:rsidRPr="008E3716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37F7F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10F7435C" w14:textId="77777777" w:rsidR="00371623" w:rsidRPr="008E3716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37F7F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78DFD1DF" w14:textId="77777777" w:rsidR="00371623" w:rsidRPr="008E3716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37F7F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3D8353B8" w14:textId="77777777" w:rsidR="00371623" w:rsidRPr="008E3716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37F7F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722F8F7C" w14:textId="77777777" w:rsidR="00371623" w:rsidRPr="008E3716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937F7F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25A0797E" w14:textId="77777777" w:rsidR="00371623" w:rsidRPr="008E3716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1"/>
                <w:szCs w:val="21"/>
                <w:lang w:eastAsia="en-US"/>
              </w:rPr>
            </w:pPr>
            <w:r w:rsidRPr="00937F7F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</w:tr>
      <w:tr w:rsidR="00371623" w:rsidRPr="00C403F4" w14:paraId="491C2A4B" w14:textId="77777777" w:rsidTr="00E40B69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710D0A67" w14:textId="77777777" w:rsidR="00371623" w:rsidRPr="008E3716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8E3716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W ujęciu niepieniężnym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1C5500B0" w14:textId="77777777" w:rsidR="00371623" w:rsidRPr="008E3716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8E3716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duże przedsiębiorstwa</w:t>
            </w:r>
          </w:p>
        </w:tc>
        <w:tc>
          <w:tcPr>
            <w:tcW w:w="7048" w:type="dxa"/>
            <w:gridSpan w:val="22"/>
            <w:shd w:val="clear" w:color="auto" w:fill="FFFFFF"/>
          </w:tcPr>
          <w:p w14:paraId="04082FBD" w14:textId="77777777" w:rsidR="00371623" w:rsidRPr="008E3716" w:rsidRDefault="00371623" w:rsidP="004B075D">
            <w:pPr>
              <w:spacing w:before="120" w:line="240" w:lineRule="auto"/>
              <w:jc w:val="both"/>
              <w:rPr>
                <w:rFonts w:eastAsia="Calibri" w:cs="Times New Roman"/>
                <w:color w:val="000000"/>
                <w:spacing w:val="-2"/>
                <w:sz w:val="21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</w:tr>
      <w:tr w:rsidR="00371623" w:rsidRPr="00C403F4" w14:paraId="6B18C7FB" w14:textId="77777777" w:rsidTr="00E40B69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588F67C5" w14:textId="77777777" w:rsidR="00371623" w:rsidRPr="00C403F4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highlight w:val="yellow"/>
                <w:lang w:eastAsia="en-US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108CD952" w14:textId="77777777" w:rsidR="00371623" w:rsidRPr="00F83BC8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F83BC8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mikro-, małe i średnice przedsiębiorstwa</w:t>
            </w:r>
          </w:p>
        </w:tc>
        <w:tc>
          <w:tcPr>
            <w:tcW w:w="7048" w:type="dxa"/>
            <w:gridSpan w:val="22"/>
            <w:shd w:val="clear" w:color="auto" w:fill="FFFFFF"/>
          </w:tcPr>
          <w:p w14:paraId="0679CFB9" w14:textId="77777777" w:rsidR="00371623" w:rsidRPr="006D663D" w:rsidRDefault="00371623" w:rsidP="004B075D">
            <w:pPr>
              <w:spacing w:line="240" w:lineRule="auto"/>
              <w:jc w:val="both"/>
              <w:rPr>
                <w:rFonts w:eastAsia="Times New Roman"/>
                <w:sz w:val="21"/>
                <w:szCs w:val="21"/>
              </w:rPr>
            </w:pPr>
          </w:p>
          <w:p w14:paraId="0A2290C7" w14:textId="77777777" w:rsidR="00371623" w:rsidRPr="00F83BC8" w:rsidRDefault="00371623" w:rsidP="004B075D">
            <w:pPr>
              <w:spacing w:before="120" w:line="240" w:lineRule="auto"/>
              <w:jc w:val="both"/>
              <w:rPr>
                <w:rFonts w:eastAsia="Times New Roman"/>
                <w:sz w:val="21"/>
                <w:szCs w:val="21"/>
              </w:rPr>
            </w:pPr>
            <w:r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</w:tr>
      <w:tr w:rsidR="00371623" w:rsidRPr="00C403F4" w14:paraId="39AF1F6B" w14:textId="77777777" w:rsidTr="00E40B69">
        <w:trPr>
          <w:gridAfter w:val="1"/>
          <w:wAfter w:w="10" w:type="dxa"/>
          <w:trHeight w:val="596"/>
        </w:trPr>
        <w:tc>
          <w:tcPr>
            <w:tcW w:w="1596" w:type="dxa"/>
            <w:vMerge/>
            <w:shd w:val="clear" w:color="auto" w:fill="FFFFFF"/>
          </w:tcPr>
          <w:p w14:paraId="30BCD009" w14:textId="77777777" w:rsidR="00371623" w:rsidRPr="00C403F4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highlight w:val="yellow"/>
                <w:lang w:eastAsia="en-US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5685B9D1" w14:textId="77777777" w:rsidR="00371623" w:rsidRPr="00F83BC8" w:rsidRDefault="00371623" w:rsidP="004B075D">
            <w:pPr>
              <w:widowControl/>
              <w:tabs>
                <w:tab w:val="right" w:pos="1936"/>
              </w:tabs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F83BC8">
              <w:rPr>
                <w:rFonts w:eastAsia="Calibri" w:cs="Times New Roman"/>
                <w:sz w:val="21"/>
                <w:szCs w:val="21"/>
                <w:lang w:eastAsia="en-US"/>
              </w:rPr>
              <w:t>rodzina, obywatele oraz gospodarstwa domowe, osoby starsze i niepełnosprawne</w:t>
            </w:r>
            <w:r w:rsidRPr="00F83BC8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 xml:space="preserve"> </w:t>
            </w:r>
          </w:p>
        </w:tc>
        <w:tc>
          <w:tcPr>
            <w:tcW w:w="7048" w:type="dxa"/>
            <w:gridSpan w:val="22"/>
            <w:shd w:val="clear" w:color="auto" w:fill="FFFFFF"/>
          </w:tcPr>
          <w:p w14:paraId="63366AE1" w14:textId="77777777" w:rsidR="00371623" w:rsidRPr="00F83BC8" w:rsidRDefault="00371623" w:rsidP="004B075D">
            <w:pPr>
              <w:widowControl/>
              <w:autoSpaceDE/>
              <w:autoSpaceDN/>
              <w:adjustRightInd/>
              <w:spacing w:before="120" w:line="240" w:lineRule="auto"/>
              <w:jc w:val="both"/>
              <w:rPr>
                <w:rFonts w:eastAsia="Calibri" w:cs="Times New Roman"/>
                <w:color w:val="000000"/>
                <w:spacing w:val="-2"/>
                <w:sz w:val="21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-</w:t>
            </w:r>
          </w:p>
        </w:tc>
      </w:tr>
      <w:tr w:rsidR="00371623" w:rsidRPr="00C403F4" w14:paraId="5CE8C2FA" w14:textId="77777777" w:rsidTr="00E40B69">
        <w:trPr>
          <w:gridAfter w:val="1"/>
          <w:wAfter w:w="10" w:type="dxa"/>
          <w:trHeight w:val="240"/>
        </w:trPr>
        <w:tc>
          <w:tcPr>
            <w:tcW w:w="1596" w:type="dxa"/>
            <w:vMerge/>
            <w:shd w:val="clear" w:color="auto" w:fill="FFFFFF"/>
          </w:tcPr>
          <w:p w14:paraId="0E551202" w14:textId="77777777" w:rsidR="00371623" w:rsidRPr="00C403F4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highlight w:val="yellow"/>
                <w:lang w:eastAsia="en-US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70A08ACD" w14:textId="77777777" w:rsidR="00371623" w:rsidRPr="00F83BC8" w:rsidRDefault="00371623" w:rsidP="004B075D">
            <w:pPr>
              <w:widowControl/>
              <w:tabs>
                <w:tab w:val="right" w:pos="1936"/>
              </w:tabs>
              <w:autoSpaceDE/>
              <w:autoSpaceDN/>
              <w:adjustRightInd/>
              <w:spacing w:line="276" w:lineRule="auto"/>
              <w:rPr>
                <w:rFonts w:eastAsia="Calibri" w:cs="Times New Roman"/>
                <w:sz w:val="21"/>
                <w:szCs w:val="21"/>
                <w:lang w:eastAsia="en-US"/>
              </w:rPr>
            </w:pPr>
            <w:r w:rsidRPr="00F83BC8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 xml:space="preserve">gospodarka </w:t>
            </w:r>
          </w:p>
        </w:tc>
        <w:tc>
          <w:tcPr>
            <w:tcW w:w="7048" w:type="dxa"/>
            <w:gridSpan w:val="22"/>
            <w:shd w:val="clear" w:color="auto" w:fill="FFFFFF"/>
          </w:tcPr>
          <w:p w14:paraId="59F9BD87" w14:textId="77777777" w:rsidR="00371623" w:rsidRPr="00F83BC8" w:rsidRDefault="00371623" w:rsidP="004B075D">
            <w:pPr>
              <w:spacing w:before="120" w:line="240" w:lineRule="auto"/>
              <w:jc w:val="both"/>
              <w:rPr>
                <w:rFonts w:eastAsia="Times New Roman"/>
                <w:sz w:val="21"/>
                <w:szCs w:val="21"/>
              </w:rPr>
            </w:pPr>
            <w:r>
              <w:rPr>
                <w:rFonts w:eastAsia="Times New Roman"/>
                <w:sz w:val="21"/>
                <w:szCs w:val="21"/>
              </w:rPr>
              <w:t>-</w:t>
            </w:r>
          </w:p>
        </w:tc>
      </w:tr>
      <w:tr w:rsidR="00371623" w:rsidRPr="00C403F4" w14:paraId="3EB6774C" w14:textId="77777777" w:rsidTr="00E40B69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688CCFFA" w14:textId="77777777" w:rsidR="00371623" w:rsidRPr="00C403F4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highlight w:val="yellow"/>
                <w:lang w:eastAsia="en-US"/>
              </w:rPr>
            </w:pPr>
            <w:r w:rsidRPr="00F83BC8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Niemierzalne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7D139DE1" w14:textId="77777777" w:rsidR="00371623" w:rsidRPr="00F83BC8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F83BC8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F83BC8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instrText xml:space="preserve"> FORMTEXT </w:instrText>
            </w:r>
            <w:r w:rsidRPr="00F83BC8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r>
            <w:r w:rsidRPr="00F83BC8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fldChar w:fldCharType="separate"/>
            </w:r>
            <w:r w:rsidRPr="00F83BC8">
              <w:rPr>
                <w:rFonts w:eastAsia="Calibri" w:cs="Times New Roman"/>
                <w:noProof/>
                <w:color w:val="000000"/>
                <w:sz w:val="21"/>
                <w:szCs w:val="21"/>
                <w:lang w:eastAsia="en-US"/>
              </w:rPr>
              <w:t>(dodaj/usuń)</w:t>
            </w:r>
            <w:r w:rsidRPr="00F83BC8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fldChar w:fldCharType="end"/>
            </w:r>
          </w:p>
        </w:tc>
        <w:tc>
          <w:tcPr>
            <w:tcW w:w="7048" w:type="dxa"/>
            <w:gridSpan w:val="22"/>
            <w:shd w:val="clear" w:color="auto" w:fill="FFFFFF"/>
          </w:tcPr>
          <w:p w14:paraId="749CCECD" w14:textId="77777777" w:rsidR="00371623" w:rsidRPr="00F83BC8" w:rsidRDefault="00371623" w:rsidP="004B075D">
            <w:pPr>
              <w:widowControl/>
              <w:autoSpaceDE/>
              <w:autoSpaceDN/>
              <w:adjustRightInd/>
              <w:jc w:val="both"/>
              <w:rPr>
                <w:rFonts w:eastAsia="Calibri" w:cs="Times New Roman"/>
                <w:color w:val="000000"/>
                <w:spacing w:val="-2"/>
                <w:sz w:val="21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pacing w:val="-2"/>
                <w:sz w:val="21"/>
                <w:szCs w:val="21"/>
                <w:lang w:eastAsia="en-US"/>
              </w:rPr>
              <w:t>-</w:t>
            </w:r>
          </w:p>
        </w:tc>
      </w:tr>
      <w:tr w:rsidR="00371623" w:rsidRPr="00C403F4" w14:paraId="1A31F9C2" w14:textId="77777777" w:rsidTr="00E40B69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790B7CF1" w14:textId="77777777" w:rsidR="00371623" w:rsidRPr="00C403F4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highlight w:val="yellow"/>
                <w:lang w:eastAsia="en-US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48C51DB0" w14:textId="77777777" w:rsidR="00371623" w:rsidRPr="00F83BC8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F83BC8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F83BC8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instrText xml:space="preserve"> FORMTEXT </w:instrText>
            </w:r>
            <w:r w:rsidRPr="00F83BC8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r>
            <w:r w:rsidRPr="00F83BC8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fldChar w:fldCharType="separate"/>
            </w:r>
            <w:r w:rsidRPr="00F83BC8">
              <w:rPr>
                <w:rFonts w:eastAsia="Calibri" w:cs="Times New Roman"/>
                <w:noProof/>
                <w:color w:val="000000"/>
                <w:sz w:val="21"/>
                <w:szCs w:val="21"/>
                <w:lang w:eastAsia="en-US"/>
              </w:rPr>
              <w:t>(dodaj/usuń)</w:t>
            </w:r>
            <w:r w:rsidRPr="00F83BC8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fldChar w:fldCharType="end"/>
            </w:r>
          </w:p>
        </w:tc>
        <w:tc>
          <w:tcPr>
            <w:tcW w:w="7048" w:type="dxa"/>
            <w:gridSpan w:val="22"/>
            <w:shd w:val="clear" w:color="auto" w:fill="FFFFFF"/>
          </w:tcPr>
          <w:p w14:paraId="4D10D7C2" w14:textId="77777777" w:rsidR="00371623" w:rsidRPr="00F83BC8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1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pacing w:val="-2"/>
                <w:sz w:val="21"/>
                <w:szCs w:val="21"/>
                <w:lang w:eastAsia="en-US"/>
              </w:rPr>
              <w:t>-</w:t>
            </w:r>
          </w:p>
        </w:tc>
      </w:tr>
      <w:tr w:rsidR="00371623" w:rsidRPr="00C403F4" w14:paraId="6DACF37B" w14:textId="77777777" w:rsidTr="00E40B69">
        <w:trPr>
          <w:gridAfter w:val="1"/>
          <w:wAfter w:w="10" w:type="dxa"/>
          <w:trHeight w:val="1643"/>
        </w:trPr>
        <w:tc>
          <w:tcPr>
            <w:tcW w:w="2243" w:type="dxa"/>
            <w:gridSpan w:val="2"/>
            <w:shd w:val="clear" w:color="auto" w:fill="FFFFFF"/>
          </w:tcPr>
          <w:p w14:paraId="3AB1FFE5" w14:textId="77777777" w:rsidR="00120528" w:rsidRDefault="00120528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</w:p>
          <w:p w14:paraId="0A473782" w14:textId="357DEB20" w:rsidR="00371623" w:rsidRPr="00F83BC8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F83BC8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 xml:space="preserve">Dodatkowe informacje, w tym wskazanie źródeł danych i przyjętych do obliczeń założeń 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14:paraId="69293A42" w14:textId="77777777" w:rsidR="00371623" w:rsidRPr="00F83BC8" w:rsidRDefault="00371623" w:rsidP="004B075D">
            <w:pPr>
              <w:widowControl/>
              <w:autoSpaceDE/>
              <w:autoSpaceDN/>
              <w:adjustRightInd/>
              <w:jc w:val="both"/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</w:pPr>
            <w:r w:rsidRPr="002F4B11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Projektowane rozporządzenie samoistnie nie rodzi skutków w sferze</w:t>
            </w:r>
            <w:r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 xml:space="preserve"> konkurencyjności gospodarki i </w:t>
            </w:r>
            <w:r w:rsidRPr="002F4B11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przedsiębiorczości, ani nie oddziałuje na</w:t>
            </w:r>
            <w:r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 xml:space="preserve"> </w:t>
            </w:r>
            <w:r w:rsidRPr="002F4B11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kondycję ekonomiczną przedsiębiorców oraz rodzin, obywateli i gospodarstw</w:t>
            </w:r>
            <w:r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 xml:space="preserve"> </w:t>
            </w:r>
            <w:r w:rsidRPr="002F4B11">
              <w:rPr>
                <w:rFonts w:eastAsia="Calibri" w:cs="Times New Roman"/>
                <w:color w:val="000000"/>
                <w:sz w:val="21"/>
                <w:szCs w:val="21"/>
                <w:lang w:eastAsia="en-US"/>
              </w:rPr>
              <w:t>domowych.</w:t>
            </w:r>
          </w:p>
        </w:tc>
      </w:tr>
      <w:tr w:rsidR="00371623" w:rsidRPr="00C403F4" w14:paraId="34CCE914" w14:textId="77777777" w:rsidTr="00E40B69">
        <w:trPr>
          <w:gridAfter w:val="1"/>
          <w:wAfter w:w="10" w:type="dxa"/>
          <w:trHeight w:val="34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1F05990A" w14:textId="77777777" w:rsidR="00371623" w:rsidRPr="00F83BC8" w:rsidRDefault="00371623" w:rsidP="004B075D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</w:pPr>
            <w:r w:rsidRPr="00F83BC8"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  <w:t xml:space="preserve"> Zmiana obciążeń regulacyjnych (w tym obowiązków informacyjnych) wynikających z projektu</w:t>
            </w:r>
          </w:p>
        </w:tc>
      </w:tr>
      <w:tr w:rsidR="00371623" w:rsidRPr="00C403F4" w14:paraId="5C4456C0" w14:textId="77777777" w:rsidTr="00E40B69">
        <w:trPr>
          <w:gridAfter w:val="1"/>
          <w:wAfter w:w="10" w:type="dxa"/>
          <w:trHeight w:val="151"/>
        </w:trPr>
        <w:tc>
          <w:tcPr>
            <w:tcW w:w="10937" w:type="dxa"/>
            <w:gridSpan w:val="29"/>
            <w:shd w:val="clear" w:color="auto" w:fill="FFFFFF"/>
          </w:tcPr>
          <w:p w14:paraId="341672F1" w14:textId="77777777" w:rsidR="00371623" w:rsidRPr="00F83BC8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instrText xml:space="preserve"> FORMCHECKBOX </w:instrText>
            </w:r>
            <w:r w:rsidR="006824C4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r>
            <w:r w:rsidR="006824C4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separate"/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end"/>
            </w:r>
            <w:r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F83BC8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nie dotyczy</w:t>
            </w:r>
          </w:p>
        </w:tc>
      </w:tr>
      <w:tr w:rsidR="00371623" w:rsidRPr="00C403F4" w14:paraId="6D6E71DE" w14:textId="77777777" w:rsidTr="00E40B69">
        <w:trPr>
          <w:gridAfter w:val="1"/>
          <w:wAfter w:w="10" w:type="dxa"/>
          <w:trHeight w:val="946"/>
        </w:trPr>
        <w:tc>
          <w:tcPr>
            <w:tcW w:w="5111" w:type="dxa"/>
            <w:gridSpan w:val="12"/>
            <w:shd w:val="clear" w:color="auto" w:fill="FFFFFF"/>
          </w:tcPr>
          <w:p w14:paraId="44C0DD5D" w14:textId="77777777" w:rsidR="00371623" w:rsidRPr="00F83BC8" w:rsidRDefault="00371623" w:rsidP="004B075D">
            <w:pPr>
              <w:widowControl/>
              <w:autoSpaceDE/>
              <w:autoSpaceDN/>
              <w:adjustRightInd/>
              <w:spacing w:line="276" w:lineRule="auto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F83BC8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 xml:space="preserve">Wprowadzane są obciążenia poza bezwzględnie wymaganymi przez UE </w:t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(szczegóły w odwróconej tabeli zgodności).</w:t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35F91BEB" w14:textId="77777777" w:rsidR="00371623" w:rsidRPr="00F83BC8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instrText xml:space="preserve"> FORMCHECKBOX </w:instrText>
            </w:r>
            <w:r w:rsidR="006824C4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r>
            <w:r w:rsidR="006824C4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separate"/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end"/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 tak</w:t>
            </w:r>
          </w:p>
          <w:p w14:paraId="30B0C5C3" w14:textId="77777777" w:rsidR="00371623" w:rsidRPr="00F83BC8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instrText xml:space="preserve"> FORMCHECKBOX </w:instrText>
            </w:r>
            <w:r w:rsidR="006824C4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r>
            <w:r w:rsidR="006824C4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separate"/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end"/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 nie</w:t>
            </w:r>
          </w:p>
          <w:p w14:paraId="089F96F2" w14:textId="77777777" w:rsidR="00371623" w:rsidRPr="00F83BC8" w:rsidRDefault="00371623" w:rsidP="004B075D">
            <w:pPr>
              <w:widowControl/>
              <w:autoSpaceDE/>
              <w:autoSpaceDN/>
              <w:adjustRightInd/>
              <w:spacing w:line="276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instrText xml:space="preserve"> FORMCHECKBOX </w:instrText>
            </w:r>
            <w:r w:rsidR="006824C4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r>
            <w:r w:rsidR="006824C4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separate"/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end"/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  nie dotyczy</w:t>
            </w:r>
          </w:p>
        </w:tc>
      </w:tr>
      <w:tr w:rsidR="00371623" w:rsidRPr="00C403F4" w14:paraId="2DAEEB5D" w14:textId="77777777" w:rsidTr="00E40B69">
        <w:trPr>
          <w:gridAfter w:val="1"/>
          <w:wAfter w:w="10" w:type="dxa"/>
          <w:trHeight w:val="1245"/>
        </w:trPr>
        <w:tc>
          <w:tcPr>
            <w:tcW w:w="5111" w:type="dxa"/>
            <w:gridSpan w:val="12"/>
            <w:shd w:val="clear" w:color="auto" w:fill="FFFFFF"/>
          </w:tcPr>
          <w:p w14:paraId="41133514" w14:textId="77777777" w:rsidR="00371623" w:rsidRPr="00F83BC8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instrText xml:space="preserve"> FORMCHECKBOX </w:instrText>
            </w:r>
            <w:r w:rsidR="006824C4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r>
            <w:r w:rsidR="006824C4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separate"/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end"/>
            </w:r>
            <w:r w:rsidRPr="00F83BC8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r w:rsidRPr="00F83BC8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zmniejszenie liczby dokumentów</w:t>
            </w:r>
          </w:p>
          <w:p w14:paraId="18E81B9B" w14:textId="77777777" w:rsidR="00371623" w:rsidRPr="00F83BC8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instrText xml:space="preserve"> FORMCHECKBOX </w:instrText>
            </w:r>
            <w:r w:rsidR="006824C4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r>
            <w:r w:rsidR="006824C4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separate"/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end"/>
            </w:r>
            <w:r w:rsidRPr="00F83BC8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r w:rsidRPr="00F83BC8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zmniejszenie liczby procedur</w:t>
            </w:r>
          </w:p>
          <w:p w14:paraId="1B77CCE5" w14:textId="77777777" w:rsidR="00371623" w:rsidRPr="00F83BC8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instrText xml:space="preserve"> FORMCHECKBOX </w:instrText>
            </w:r>
            <w:r w:rsidR="006824C4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r>
            <w:r w:rsidR="006824C4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separate"/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end"/>
            </w:r>
            <w:r w:rsidRPr="00F83BC8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r w:rsidRPr="00F83BC8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skrócenie czasu na załatwienie sprawy</w:t>
            </w:r>
          </w:p>
          <w:p w14:paraId="5DFC40E3" w14:textId="77777777" w:rsidR="00371623" w:rsidRPr="00F83BC8" w:rsidRDefault="00371623" w:rsidP="004B075D">
            <w:pPr>
              <w:widowControl/>
              <w:autoSpaceDE/>
              <w:autoSpaceDN/>
              <w:adjustRightInd/>
              <w:spacing w:line="276" w:lineRule="auto"/>
              <w:rPr>
                <w:rFonts w:eastAsia="Calibri" w:cs="Times New Roman"/>
                <w:b/>
                <w:color w:val="000000"/>
                <w:spacing w:val="-2"/>
                <w:sz w:val="22"/>
                <w:szCs w:val="22"/>
                <w:lang w:eastAsia="en-US"/>
              </w:rPr>
            </w:pP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instrText xml:space="preserve"> FORMCHECKBOX </w:instrText>
            </w:r>
            <w:r w:rsidR="006824C4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r>
            <w:r w:rsidR="006824C4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separate"/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end"/>
            </w:r>
            <w:r w:rsidRPr="00F83BC8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r w:rsidRPr="00F83BC8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inne:</w:t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instrText xml:space="preserve"> FORMTEXT </w:instrText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separate"/>
            </w:r>
            <w:r w:rsidRPr="00F83BC8">
              <w:rPr>
                <w:rFonts w:eastAsia="Calibri" w:hAnsi="Calibri" w:cs="Times New Roman"/>
                <w:noProof/>
                <w:color w:val="000000"/>
                <w:sz w:val="22"/>
                <w:szCs w:val="22"/>
                <w:lang w:eastAsia="en-US"/>
              </w:rPr>
              <w:t> </w:t>
            </w:r>
            <w:r w:rsidRPr="00F83BC8">
              <w:rPr>
                <w:rFonts w:eastAsia="Calibri" w:hAnsi="Calibri" w:cs="Times New Roman"/>
                <w:noProof/>
                <w:color w:val="000000"/>
                <w:sz w:val="22"/>
                <w:szCs w:val="22"/>
                <w:lang w:eastAsia="en-US"/>
              </w:rPr>
              <w:t> </w:t>
            </w:r>
            <w:r w:rsidRPr="00F83BC8">
              <w:rPr>
                <w:rFonts w:eastAsia="Calibri" w:hAnsi="Calibri" w:cs="Times New Roman"/>
                <w:noProof/>
                <w:color w:val="000000"/>
                <w:sz w:val="22"/>
                <w:szCs w:val="22"/>
                <w:lang w:eastAsia="en-US"/>
              </w:rPr>
              <w:t> </w:t>
            </w:r>
            <w:r w:rsidRPr="00F83BC8">
              <w:rPr>
                <w:rFonts w:eastAsia="Calibri" w:hAnsi="Calibri" w:cs="Times New Roman"/>
                <w:noProof/>
                <w:color w:val="000000"/>
                <w:sz w:val="22"/>
                <w:szCs w:val="22"/>
                <w:lang w:eastAsia="en-US"/>
              </w:rPr>
              <w:t> </w:t>
            </w:r>
            <w:r w:rsidRPr="00F83BC8">
              <w:rPr>
                <w:rFonts w:eastAsia="Calibri" w:hAnsi="Calibri" w:cs="Times New Roman"/>
                <w:noProof/>
                <w:color w:val="000000"/>
                <w:sz w:val="22"/>
                <w:szCs w:val="22"/>
                <w:lang w:eastAsia="en-US"/>
              </w:rPr>
              <w:t> </w:t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31521A2F" w14:textId="77777777" w:rsidR="00371623" w:rsidRPr="00F83BC8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instrText xml:space="preserve"> FORMCHECKBOX </w:instrText>
            </w:r>
            <w:r w:rsidR="006824C4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r>
            <w:r w:rsidR="006824C4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separate"/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end"/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F83BC8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zwiększenie liczby dokumentów</w:t>
            </w:r>
          </w:p>
          <w:p w14:paraId="35C34F1F" w14:textId="77777777" w:rsidR="00371623" w:rsidRPr="00F83BC8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instrText xml:space="preserve"> FORMCHECKBOX </w:instrText>
            </w:r>
            <w:r w:rsidR="006824C4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r>
            <w:r w:rsidR="006824C4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separate"/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end"/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F83BC8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zwiększenie liczby procedur</w:t>
            </w:r>
          </w:p>
          <w:p w14:paraId="20BF2E22" w14:textId="77777777" w:rsidR="00371623" w:rsidRPr="00F83BC8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instrText xml:space="preserve"> FORMCHECKBOX </w:instrText>
            </w:r>
            <w:r w:rsidR="006824C4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r>
            <w:r w:rsidR="006824C4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separate"/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end"/>
            </w:r>
            <w:r w:rsidRPr="00F83BC8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r w:rsidRPr="00F83BC8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wydłużenie czasu na załatwienie sprawy</w:t>
            </w:r>
          </w:p>
          <w:p w14:paraId="615987F8" w14:textId="77777777" w:rsidR="00371623" w:rsidRPr="00F83BC8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instrText xml:space="preserve"> FORMCHECKBOX </w:instrText>
            </w:r>
            <w:r w:rsidR="006824C4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r>
            <w:r w:rsidR="006824C4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separate"/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end"/>
            </w:r>
            <w:r w:rsidRPr="00F83BC8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r w:rsidRPr="00F83BC8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inne:</w:t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instrText xml:space="preserve"> FORMTEXT </w:instrText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separate"/>
            </w:r>
            <w:r w:rsidRPr="00F83BC8">
              <w:rPr>
                <w:rFonts w:eastAsia="Calibri" w:hAnsi="Calibri" w:cs="Times New Roman"/>
                <w:noProof/>
                <w:color w:val="000000"/>
                <w:sz w:val="22"/>
                <w:szCs w:val="22"/>
                <w:lang w:eastAsia="en-US"/>
              </w:rPr>
              <w:t> </w:t>
            </w:r>
            <w:r w:rsidRPr="00F83BC8">
              <w:rPr>
                <w:rFonts w:eastAsia="Calibri" w:hAnsi="Calibri" w:cs="Times New Roman"/>
                <w:noProof/>
                <w:color w:val="000000"/>
                <w:sz w:val="22"/>
                <w:szCs w:val="22"/>
                <w:lang w:eastAsia="en-US"/>
              </w:rPr>
              <w:t> </w:t>
            </w:r>
            <w:r w:rsidRPr="00F83BC8">
              <w:rPr>
                <w:rFonts w:eastAsia="Calibri" w:hAnsi="Calibri" w:cs="Times New Roman"/>
                <w:noProof/>
                <w:color w:val="000000"/>
                <w:sz w:val="22"/>
                <w:szCs w:val="22"/>
                <w:lang w:eastAsia="en-US"/>
              </w:rPr>
              <w:t> </w:t>
            </w:r>
            <w:r w:rsidRPr="00F83BC8">
              <w:rPr>
                <w:rFonts w:eastAsia="Calibri" w:hAnsi="Calibri" w:cs="Times New Roman"/>
                <w:noProof/>
                <w:color w:val="000000"/>
                <w:sz w:val="22"/>
                <w:szCs w:val="22"/>
                <w:lang w:eastAsia="en-US"/>
              </w:rPr>
              <w:t> </w:t>
            </w:r>
            <w:r w:rsidRPr="00F83BC8">
              <w:rPr>
                <w:rFonts w:eastAsia="Calibri" w:hAnsi="Calibri" w:cs="Times New Roman"/>
                <w:noProof/>
                <w:color w:val="000000"/>
                <w:sz w:val="22"/>
                <w:szCs w:val="22"/>
                <w:lang w:eastAsia="en-US"/>
              </w:rPr>
              <w:t> </w:t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end"/>
            </w:r>
          </w:p>
          <w:p w14:paraId="42C22915" w14:textId="77777777" w:rsidR="00371623" w:rsidRPr="00F83BC8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</w:p>
        </w:tc>
      </w:tr>
      <w:tr w:rsidR="00371623" w:rsidRPr="00C403F4" w14:paraId="5E5DA390" w14:textId="77777777" w:rsidTr="00E40B69">
        <w:trPr>
          <w:gridAfter w:val="1"/>
          <w:wAfter w:w="10" w:type="dxa"/>
          <w:trHeight w:val="870"/>
        </w:trPr>
        <w:tc>
          <w:tcPr>
            <w:tcW w:w="5111" w:type="dxa"/>
            <w:gridSpan w:val="12"/>
            <w:shd w:val="clear" w:color="auto" w:fill="FFFFFF"/>
          </w:tcPr>
          <w:p w14:paraId="2A88155F" w14:textId="77777777" w:rsidR="00371623" w:rsidRPr="00F83BC8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F83BC8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Wprowadzane obciążenia są przystosowane do ich elektronizacji.</w:t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41A89509" w14:textId="77777777" w:rsidR="00371623" w:rsidRPr="00F83BC8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instrText xml:space="preserve"> FORMCHECKBOX </w:instrText>
            </w:r>
            <w:r w:rsidR="006824C4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r>
            <w:r w:rsidR="006824C4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separate"/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end"/>
            </w:r>
            <w:r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tak</w:t>
            </w:r>
          </w:p>
          <w:p w14:paraId="7B6A4498" w14:textId="77777777" w:rsidR="00371623" w:rsidRPr="00F83BC8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instrText xml:space="preserve"> FORMCHECKBOX </w:instrText>
            </w:r>
            <w:r w:rsidR="006824C4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r>
            <w:r w:rsidR="006824C4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separate"/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end"/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 nie</w:t>
            </w:r>
          </w:p>
          <w:p w14:paraId="36D6829D" w14:textId="77777777" w:rsidR="00371623" w:rsidRPr="00F83BC8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instrText xml:space="preserve"> FORMCHECKBOX </w:instrText>
            </w:r>
            <w:r w:rsidR="006824C4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r>
            <w:r w:rsidR="006824C4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separate"/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end"/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  nie dotyczy</w:t>
            </w:r>
          </w:p>
        </w:tc>
      </w:tr>
      <w:tr w:rsidR="00371623" w:rsidRPr="00C403F4" w14:paraId="6DB28210" w14:textId="77777777" w:rsidTr="00E40B69">
        <w:trPr>
          <w:gridAfter w:val="1"/>
          <w:wAfter w:w="10" w:type="dxa"/>
          <w:trHeight w:val="630"/>
        </w:trPr>
        <w:tc>
          <w:tcPr>
            <w:tcW w:w="10937" w:type="dxa"/>
            <w:gridSpan w:val="29"/>
            <w:shd w:val="clear" w:color="auto" w:fill="FFFFFF"/>
          </w:tcPr>
          <w:p w14:paraId="4958C60B" w14:textId="77777777" w:rsidR="00371623" w:rsidRPr="00F83BC8" w:rsidRDefault="00371623" w:rsidP="004B075D">
            <w:pPr>
              <w:widowControl/>
              <w:autoSpaceDE/>
              <w:autoSpaceDN/>
              <w:adjustRightInd/>
              <w:jc w:val="both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Komentarz:</w:t>
            </w:r>
            <w:r>
              <w:t xml:space="preserve"> </w:t>
            </w:r>
            <w:r w:rsidRPr="002F4B11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projektowane rozporządzenie jest neutralne w kontekście otoczenia</w:t>
            </w:r>
            <w:r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2F4B11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regulacyjnego funkcjonowania rynku </w:t>
            </w:r>
            <w:r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danych.</w:t>
            </w:r>
          </w:p>
        </w:tc>
      </w:tr>
      <w:tr w:rsidR="00371623" w:rsidRPr="00C403F4" w14:paraId="20F17661" w14:textId="77777777" w:rsidTr="00E40B69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7434997E" w14:textId="77777777" w:rsidR="00371623" w:rsidRPr="00F83BC8" w:rsidRDefault="00371623" w:rsidP="004B075D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40" w:lineRule="auto"/>
              <w:jc w:val="both"/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</w:pPr>
            <w:r w:rsidRPr="00F83BC8"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  <w:t>Wpływ na rynek pracy</w:t>
            </w:r>
          </w:p>
        </w:tc>
      </w:tr>
      <w:tr w:rsidR="00371623" w:rsidRPr="00C403F4" w14:paraId="2C9719E9" w14:textId="77777777" w:rsidTr="00E40B69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6A572799" w14:textId="77777777" w:rsidR="00371623" w:rsidRPr="00F83BC8" w:rsidRDefault="00371623" w:rsidP="004B075D">
            <w:pPr>
              <w:jc w:val="both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 xml:space="preserve">Nie dotyczy. </w:t>
            </w:r>
          </w:p>
        </w:tc>
      </w:tr>
      <w:tr w:rsidR="00371623" w:rsidRPr="00C403F4" w14:paraId="46DA9C0D" w14:textId="77777777" w:rsidTr="00E40B69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3BC9C6C1" w14:textId="77777777" w:rsidR="00371623" w:rsidRPr="00F83BC8" w:rsidRDefault="00371623" w:rsidP="004B075D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40" w:lineRule="auto"/>
              <w:jc w:val="both"/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</w:pPr>
            <w:r w:rsidRPr="00F83BC8"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  <w:t>Wpływ na pozostałe obszary</w:t>
            </w:r>
          </w:p>
        </w:tc>
      </w:tr>
      <w:tr w:rsidR="00371623" w:rsidRPr="00C403F4" w14:paraId="0123469A" w14:textId="77777777" w:rsidTr="00E40B69">
        <w:trPr>
          <w:gridAfter w:val="1"/>
          <w:wAfter w:w="10" w:type="dxa"/>
          <w:trHeight w:val="1031"/>
        </w:trPr>
        <w:tc>
          <w:tcPr>
            <w:tcW w:w="3547" w:type="dxa"/>
            <w:gridSpan w:val="5"/>
            <w:shd w:val="clear" w:color="auto" w:fill="FFFFFF"/>
          </w:tcPr>
          <w:p w14:paraId="4BA17291" w14:textId="77777777" w:rsidR="00371623" w:rsidRPr="00F83BC8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</w:p>
          <w:p w14:paraId="0BB50855" w14:textId="77777777" w:rsidR="00371623" w:rsidRPr="00F83BC8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instrText xml:space="preserve"> FORMCHECKBOX </w:instrText>
            </w:r>
            <w:r w:rsidR="006824C4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r>
            <w:r w:rsidR="006824C4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separate"/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end"/>
            </w:r>
            <w:r w:rsidRPr="00F83BC8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r w:rsidRPr="00F83BC8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środowisko naturalne</w:t>
            </w:r>
          </w:p>
          <w:p w14:paraId="3B0D6EAF" w14:textId="77777777" w:rsidR="00371623" w:rsidRPr="00F83BC8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instrText xml:space="preserve"> FORMCHECKBOX </w:instrText>
            </w:r>
            <w:r w:rsidR="006824C4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r>
            <w:r w:rsidR="006824C4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separate"/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end"/>
            </w:r>
            <w:r w:rsidRPr="00F83BC8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sytuacja i rozwój regionalny</w:t>
            </w:r>
          </w:p>
          <w:p w14:paraId="0D5C0632" w14:textId="77777777" w:rsidR="00371623" w:rsidRPr="00F83BC8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instrText xml:space="preserve"> FORMCHECKBOX </w:instrText>
            </w:r>
            <w:r w:rsidR="006824C4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r>
            <w:r w:rsidR="006824C4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separate"/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end"/>
            </w:r>
            <w:r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F83BC8">
              <w:rPr>
                <w:rFonts w:eastAsia="Calibri" w:cs="Times New Roman"/>
                <w:spacing w:val="-2"/>
                <w:sz w:val="22"/>
                <w:szCs w:val="22"/>
                <w:lang w:eastAsia="en-US"/>
              </w:rPr>
              <w:t>sądy powszechne, administracyjne lub wojskowe</w:t>
            </w:r>
          </w:p>
        </w:tc>
        <w:tc>
          <w:tcPr>
            <w:tcW w:w="3687" w:type="dxa"/>
            <w:gridSpan w:val="15"/>
            <w:shd w:val="clear" w:color="auto" w:fill="FFFFFF"/>
          </w:tcPr>
          <w:p w14:paraId="1E665EBE" w14:textId="77777777" w:rsidR="00371623" w:rsidRPr="00F83BC8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</w:p>
          <w:p w14:paraId="584D69CD" w14:textId="77777777" w:rsidR="00371623" w:rsidRPr="00F83BC8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instrText xml:space="preserve"> FORMCHECKBOX </w:instrText>
            </w:r>
            <w:r w:rsidR="006824C4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r>
            <w:r w:rsidR="006824C4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separate"/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end"/>
            </w:r>
            <w:r w:rsidRPr="00F83BC8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r w:rsidRPr="00F83BC8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demografia</w:t>
            </w:r>
          </w:p>
          <w:p w14:paraId="2CE0C1F4" w14:textId="77777777" w:rsidR="00371623" w:rsidRPr="00F83BC8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instrText xml:space="preserve"> FORMCHECKBOX </w:instrText>
            </w:r>
            <w:r w:rsidR="006824C4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r>
            <w:r w:rsidR="006824C4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separate"/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end"/>
            </w:r>
            <w:r w:rsidRPr="00F83BC8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mienie państwowe</w:t>
            </w:r>
          </w:p>
          <w:p w14:paraId="457D775F" w14:textId="77777777" w:rsidR="00371623" w:rsidRPr="00F83BC8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instrText xml:space="preserve"> FORMCHECKBOX </w:instrText>
            </w:r>
            <w:r w:rsidR="006824C4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r>
            <w:r w:rsidR="006824C4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separate"/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end"/>
            </w:r>
            <w:r w:rsidRPr="00F83BC8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r w:rsidRPr="00F83BC8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 xml:space="preserve">inne: </w:t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instrText xml:space="preserve"> FORMTEXT </w:instrText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separate"/>
            </w:r>
            <w:r w:rsidRPr="00F83BC8">
              <w:rPr>
                <w:rFonts w:eastAsia="Calibri" w:hAnsi="Calibri" w:cs="Times New Roman"/>
                <w:noProof/>
                <w:color w:val="000000"/>
                <w:sz w:val="22"/>
                <w:szCs w:val="22"/>
                <w:lang w:eastAsia="en-US"/>
              </w:rPr>
              <w:t> </w:t>
            </w:r>
            <w:r w:rsidRPr="00F83BC8">
              <w:rPr>
                <w:rFonts w:eastAsia="Calibri" w:hAnsi="Calibri" w:cs="Times New Roman"/>
                <w:noProof/>
                <w:color w:val="000000"/>
                <w:sz w:val="22"/>
                <w:szCs w:val="22"/>
                <w:lang w:eastAsia="en-US"/>
              </w:rPr>
              <w:t> </w:t>
            </w:r>
            <w:r w:rsidRPr="00F83BC8">
              <w:rPr>
                <w:rFonts w:eastAsia="Calibri" w:hAnsi="Calibri" w:cs="Times New Roman"/>
                <w:noProof/>
                <w:color w:val="000000"/>
                <w:sz w:val="22"/>
                <w:szCs w:val="22"/>
                <w:lang w:eastAsia="en-US"/>
              </w:rPr>
              <w:t> </w:t>
            </w:r>
            <w:r w:rsidRPr="00F83BC8">
              <w:rPr>
                <w:rFonts w:eastAsia="Calibri" w:hAnsi="Calibri" w:cs="Times New Roman"/>
                <w:noProof/>
                <w:color w:val="000000"/>
                <w:sz w:val="22"/>
                <w:szCs w:val="22"/>
                <w:lang w:eastAsia="en-US"/>
              </w:rPr>
              <w:t> </w:t>
            </w:r>
            <w:r w:rsidRPr="00F83BC8">
              <w:rPr>
                <w:rFonts w:eastAsia="Calibri" w:hAnsi="Calibri" w:cs="Times New Roman"/>
                <w:noProof/>
                <w:color w:val="000000"/>
                <w:sz w:val="22"/>
                <w:szCs w:val="22"/>
                <w:lang w:eastAsia="en-US"/>
              </w:rPr>
              <w:t> </w:t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3703" w:type="dxa"/>
            <w:gridSpan w:val="9"/>
            <w:shd w:val="clear" w:color="auto" w:fill="FFFFFF"/>
          </w:tcPr>
          <w:p w14:paraId="79594728" w14:textId="77777777" w:rsidR="00371623" w:rsidRPr="00F83BC8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</w:p>
          <w:p w14:paraId="710BCCF4" w14:textId="77777777" w:rsidR="00371623" w:rsidRPr="00F83BC8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instrText xml:space="preserve"> FORMCHECKBOX </w:instrText>
            </w:r>
            <w:r w:rsidR="006824C4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r>
            <w:r w:rsidR="006824C4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separate"/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end"/>
            </w:r>
            <w:r w:rsidRPr="00F83BC8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r w:rsidRPr="00F83BC8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informatyzacja</w:t>
            </w:r>
          </w:p>
          <w:p w14:paraId="6CC29D8E" w14:textId="77777777" w:rsidR="00371623" w:rsidRPr="00F83BC8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instrText xml:space="preserve"> FORMCHECKBOX </w:instrText>
            </w:r>
            <w:r w:rsidR="006824C4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r>
            <w:r w:rsidR="006824C4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separate"/>
            </w: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fldChar w:fldCharType="end"/>
            </w:r>
            <w:r w:rsidRPr="00F83BC8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r w:rsidRPr="00F83BC8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zdrowie</w:t>
            </w:r>
          </w:p>
        </w:tc>
      </w:tr>
      <w:tr w:rsidR="00371623" w:rsidRPr="00C403F4" w14:paraId="2F357953" w14:textId="77777777" w:rsidTr="00E40B69">
        <w:trPr>
          <w:gridAfter w:val="1"/>
          <w:wAfter w:w="10" w:type="dxa"/>
          <w:trHeight w:val="712"/>
        </w:trPr>
        <w:tc>
          <w:tcPr>
            <w:tcW w:w="2243" w:type="dxa"/>
            <w:gridSpan w:val="2"/>
            <w:shd w:val="clear" w:color="auto" w:fill="FFFFFF"/>
            <w:vAlign w:val="center"/>
          </w:tcPr>
          <w:p w14:paraId="415838B8" w14:textId="77777777" w:rsidR="00371623" w:rsidRPr="00F83BC8" w:rsidRDefault="00371623" w:rsidP="004B075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</w:pPr>
            <w:r w:rsidRPr="00F83BC8">
              <w:rPr>
                <w:rFonts w:eastAsia="Calibri" w:cs="Times New Roman"/>
                <w:color w:val="000000"/>
                <w:sz w:val="22"/>
                <w:szCs w:val="22"/>
                <w:lang w:eastAsia="en-US"/>
              </w:rPr>
              <w:t>Omówienie wpływu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14:paraId="7084BC37" w14:textId="77777777" w:rsidR="00371623" w:rsidRPr="00F83BC8" w:rsidRDefault="00371623" w:rsidP="004B075D">
            <w:pPr>
              <w:widowControl/>
              <w:autoSpaceDE/>
              <w:autoSpaceDN/>
              <w:adjustRightInd/>
              <w:jc w:val="both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871E17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 xml:space="preserve">Projektowane przepisy umożliwią wydatkowanie środków przewidzianych w ramach działania 2.3 w zgodzie z przepisami o pomocy publicznej i pomocy </w:t>
            </w:r>
            <w:r w:rsidRPr="00871E17">
              <w:rPr>
                <w:rFonts w:eastAsia="Calibri" w:cs="Times New Roman"/>
                <w:i/>
                <w:color w:val="000000"/>
                <w:spacing w:val="-2"/>
                <w:sz w:val="22"/>
                <w:szCs w:val="22"/>
                <w:lang w:eastAsia="en-US"/>
              </w:rPr>
              <w:t>de minimis</w:t>
            </w:r>
            <w:r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. Działanie to stanowi interwencję w obszarze informatyzacji, bowiem dotyczy cyfrowej dostępności informacji sektora publicznego oraz c</w:t>
            </w:r>
            <w:r w:rsidRPr="00871E17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yfrow</w:t>
            </w:r>
            <w:r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 xml:space="preserve">ej </w:t>
            </w:r>
            <w:r w:rsidRPr="00871E17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dostępnoś</w:t>
            </w:r>
            <w:r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ci</w:t>
            </w:r>
            <w:r w:rsidRPr="00871E17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 xml:space="preserve"> i ponowne</w:t>
            </w:r>
            <w:r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go</w:t>
            </w:r>
            <w:r w:rsidRPr="00871E17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 xml:space="preserve"> wykorzystani</w:t>
            </w:r>
            <w:r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a</w:t>
            </w:r>
            <w:r w:rsidRPr="00871E17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 xml:space="preserve"> informacji przez przedsiębiorstwa</w:t>
            </w:r>
            <w:r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.</w:t>
            </w:r>
          </w:p>
        </w:tc>
      </w:tr>
      <w:tr w:rsidR="00371623" w:rsidRPr="00C403F4" w14:paraId="06166D1F" w14:textId="77777777" w:rsidTr="00E40B69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317C3BFF" w14:textId="77777777" w:rsidR="00371623" w:rsidRPr="00F83BC8" w:rsidRDefault="00371623" w:rsidP="004B075D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eastAsia="Calibri" w:cs="Times New Roman"/>
                <w:b/>
                <w:sz w:val="22"/>
                <w:szCs w:val="22"/>
                <w:lang w:eastAsia="en-US"/>
              </w:rPr>
            </w:pPr>
            <w:r w:rsidRPr="00F83BC8">
              <w:rPr>
                <w:rFonts w:eastAsia="Calibri" w:cs="Times New Roman"/>
                <w:b/>
                <w:spacing w:val="-2"/>
                <w:sz w:val="21"/>
                <w:szCs w:val="21"/>
                <w:lang w:eastAsia="en-US"/>
              </w:rPr>
              <w:t>Planowane wykonanie przepisów aktu prawnego</w:t>
            </w:r>
          </w:p>
        </w:tc>
      </w:tr>
      <w:tr w:rsidR="00371623" w:rsidRPr="00C403F4" w14:paraId="2E3E5E74" w14:textId="77777777" w:rsidTr="00E40B69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2564FCAE" w14:textId="77777777" w:rsidR="00371623" w:rsidRPr="00F83BC8" w:rsidRDefault="00371623" w:rsidP="004B075D">
            <w:pPr>
              <w:widowControl/>
              <w:autoSpaceDE/>
              <w:autoSpaceDN/>
              <w:adjustRightInd/>
              <w:jc w:val="both"/>
              <w:rPr>
                <w:rFonts w:eastAsia="Calibri" w:cs="Times New Roman"/>
                <w:spacing w:val="-2"/>
                <w:sz w:val="22"/>
                <w:szCs w:val="22"/>
                <w:lang w:eastAsia="en-US"/>
              </w:rPr>
            </w:pPr>
            <w:r w:rsidRPr="004E0605">
              <w:rPr>
                <w:rFonts w:eastAsia="Calibri" w:cs="Times New Roman"/>
                <w:spacing w:val="-2"/>
                <w:sz w:val="22"/>
                <w:szCs w:val="22"/>
                <w:lang w:eastAsia="en-US"/>
              </w:rPr>
              <w:t xml:space="preserve">Rozporządzenie </w:t>
            </w:r>
            <w:r>
              <w:rPr>
                <w:rFonts w:eastAsia="Calibri" w:cs="Times New Roman"/>
                <w:spacing w:val="-2"/>
                <w:sz w:val="22"/>
                <w:szCs w:val="22"/>
                <w:lang w:eastAsia="en-US"/>
              </w:rPr>
              <w:t xml:space="preserve">jest aktem wykonawczym, realizacja postanowień </w:t>
            </w:r>
            <w:r w:rsidRPr="00B75E44">
              <w:rPr>
                <w:rFonts w:eastAsia="Calibri" w:cs="Times New Roman"/>
                <w:spacing w:val="-2"/>
                <w:sz w:val="22"/>
                <w:szCs w:val="22"/>
                <w:lang w:eastAsia="en-US"/>
              </w:rPr>
              <w:t>rozporządzenia nastąpi z dniem jego wejścia w życie.</w:t>
            </w:r>
          </w:p>
        </w:tc>
      </w:tr>
      <w:tr w:rsidR="00371623" w:rsidRPr="00C403F4" w14:paraId="6A4E59E5" w14:textId="77777777" w:rsidTr="00E40B69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29BA474F" w14:textId="77777777" w:rsidR="00371623" w:rsidRPr="00F83BC8" w:rsidRDefault="00371623" w:rsidP="004B075D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</w:pPr>
            <w:r w:rsidRPr="00F83BC8">
              <w:rPr>
                <w:rFonts w:eastAsia="Calibri" w:cs="Times New Roman"/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F83BC8">
              <w:rPr>
                <w:rFonts w:eastAsia="Calibri" w:cs="Times New Roman"/>
                <w:b/>
                <w:spacing w:val="-2"/>
                <w:sz w:val="21"/>
                <w:szCs w:val="21"/>
                <w:lang w:eastAsia="en-US"/>
              </w:rPr>
              <w:t>W jaki sposób i kiedy nastąpi ewaluacja efektów projektu oraz jakie mierniki zostaną zastosowane?</w:t>
            </w:r>
          </w:p>
        </w:tc>
      </w:tr>
      <w:tr w:rsidR="00371623" w:rsidRPr="00C403F4" w14:paraId="331EB552" w14:textId="77777777" w:rsidTr="00E40B69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5ADB88DF" w14:textId="77777777" w:rsidR="00371623" w:rsidRPr="00F83BC8" w:rsidRDefault="00371623" w:rsidP="004B075D">
            <w:pPr>
              <w:widowControl/>
              <w:autoSpaceDE/>
              <w:autoSpaceDN/>
              <w:adjustRightInd/>
              <w:jc w:val="both"/>
              <w:rPr>
                <w:rFonts w:eastAsia="Calibri" w:cs="Times New Roman"/>
                <w:spacing w:val="-2"/>
                <w:sz w:val="22"/>
                <w:szCs w:val="22"/>
                <w:lang w:eastAsia="en-US"/>
              </w:rPr>
            </w:pPr>
            <w:r>
              <w:rPr>
                <w:rFonts w:eastAsia="Calibri" w:cs="Times New Roman"/>
                <w:spacing w:val="-2"/>
                <w:sz w:val="22"/>
                <w:szCs w:val="22"/>
                <w:lang w:eastAsia="en-US"/>
              </w:rPr>
              <w:t xml:space="preserve">Nie przewiduje się ewaluacji. </w:t>
            </w:r>
          </w:p>
        </w:tc>
      </w:tr>
      <w:tr w:rsidR="00371623" w:rsidRPr="00C403F4" w14:paraId="0441F3B0" w14:textId="77777777" w:rsidTr="00E40B69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3C1ECA41" w14:textId="77777777" w:rsidR="00371623" w:rsidRPr="00F83BC8" w:rsidRDefault="00371623" w:rsidP="004B075D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eastAsia="Calibri" w:cs="Times New Roman"/>
                <w:b/>
                <w:color w:val="000000"/>
                <w:spacing w:val="-2"/>
                <w:sz w:val="22"/>
                <w:szCs w:val="22"/>
                <w:lang w:eastAsia="en-US"/>
              </w:rPr>
            </w:pPr>
            <w:r w:rsidRPr="00F83BC8">
              <w:rPr>
                <w:rFonts w:eastAsia="Calibri" w:cs="Times New Roman"/>
                <w:b/>
                <w:color w:val="000000"/>
                <w:spacing w:val="-2"/>
                <w:sz w:val="22"/>
                <w:szCs w:val="22"/>
                <w:lang w:eastAsia="en-US"/>
              </w:rPr>
              <w:t xml:space="preserve">Załączniki </w:t>
            </w:r>
            <w:r w:rsidRPr="00F83BC8">
              <w:rPr>
                <w:rFonts w:eastAsia="Calibri" w:cs="Times New Roman"/>
                <w:b/>
                <w:spacing w:val="-2"/>
                <w:sz w:val="21"/>
                <w:szCs w:val="21"/>
                <w:lang w:eastAsia="en-US"/>
              </w:rPr>
              <w:t>(istotne dokumenty źródłowe, badania, analizy itp.</w:t>
            </w:r>
            <w:r w:rsidRPr="00F83BC8">
              <w:rPr>
                <w:rFonts w:eastAsia="Calibri" w:cs="Times New Roman"/>
                <w:b/>
                <w:color w:val="000000"/>
                <w:spacing w:val="-2"/>
                <w:sz w:val="22"/>
                <w:szCs w:val="22"/>
                <w:lang w:eastAsia="en-US"/>
              </w:rPr>
              <w:t>)</w:t>
            </w:r>
          </w:p>
        </w:tc>
      </w:tr>
      <w:tr w:rsidR="00371623" w:rsidRPr="0042722C" w14:paraId="192A3360" w14:textId="77777777" w:rsidTr="00E40B69">
        <w:trPr>
          <w:gridAfter w:val="1"/>
          <w:wAfter w:w="10" w:type="dxa"/>
          <w:trHeight w:val="67"/>
        </w:trPr>
        <w:tc>
          <w:tcPr>
            <w:tcW w:w="10937" w:type="dxa"/>
            <w:gridSpan w:val="29"/>
            <w:shd w:val="clear" w:color="auto" w:fill="FFFFFF"/>
          </w:tcPr>
          <w:p w14:paraId="712E52C5" w14:textId="77777777" w:rsidR="00371623" w:rsidRPr="00F54972" w:rsidRDefault="00371623" w:rsidP="004B075D">
            <w:pPr>
              <w:widowControl/>
              <w:autoSpaceDE/>
              <w:autoSpaceDN/>
              <w:adjustRightInd/>
              <w:jc w:val="both"/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</w:pPr>
            <w:r w:rsidRPr="00F54972">
              <w:rPr>
                <w:rFonts w:eastAsia="Calibri" w:cs="Times New Roman"/>
                <w:color w:val="000000"/>
                <w:spacing w:val="-2"/>
                <w:sz w:val="22"/>
                <w:szCs w:val="22"/>
                <w:lang w:eastAsia="en-US"/>
              </w:rPr>
              <w:t>Brak załączników.</w:t>
            </w:r>
          </w:p>
        </w:tc>
      </w:tr>
    </w:tbl>
    <w:p w14:paraId="62B5704F" w14:textId="77777777" w:rsidR="00E40149" w:rsidRPr="00B2523F" w:rsidRDefault="00E40149" w:rsidP="000C011A">
      <w:pPr>
        <w:spacing w:line="240" w:lineRule="auto"/>
        <w:rPr>
          <w:rFonts w:eastAsia="Times New Roman"/>
          <w:b/>
          <w:bCs/>
          <w:kern w:val="32"/>
          <w:sz w:val="20"/>
        </w:rPr>
      </w:pPr>
    </w:p>
    <w:sectPr w:rsidR="00E40149" w:rsidRPr="00B2523F" w:rsidSect="007E06A3">
      <w:headerReference w:type="default" r:id="rId14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553C13" w14:textId="77777777" w:rsidR="00952C9C" w:rsidRDefault="00952C9C">
      <w:r>
        <w:separator/>
      </w:r>
    </w:p>
  </w:endnote>
  <w:endnote w:type="continuationSeparator" w:id="0">
    <w:p w14:paraId="2229E72C" w14:textId="77777777" w:rsidR="00952C9C" w:rsidRDefault="00952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A71D09" w14:textId="77777777" w:rsidR="00952C9C" w:rsidRDefault="00952C9C">
      <w:r>
        <w:separator/>
      </w:r>
    </w:p>
  </w:footnote>
  <w:footnote w:type="continuationSeparator" w:id="0">
    <w:p w14:paraId="1C739D80" w14:textId="77777777" w:rsidR="00952C9C" w:rsidRDefault="00952C9C">
      <w:r>
        <w:continuationSeparator/>
      </w:r>
    </w:p>
  </w:footnote>
  <w:footnote w:id="1">
    <w:p w14:paraId="10F270D4" w14:textId="77777777" w:rsidR="004B075D" w:rsidRPr="00A25596" w:rsidRDefault="004B075D" w:rsidP="006067A7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</w:r>
      <w:r w:rsidRPr="008244A1">
        <w:t xml:space="preserve">Minister </w:t>
      </w:r>
      <w:r>
        <w:t>C</w:t>
      </w:r>
      <w:r w:rsidRPr="008244A1">
        <w:t>yfryzacji kieruje działem administracji rządowej – informatyzacja, na podstawie § 1 ust. 2 rozporządzenia Prezesa Rady Ministrów z dnia 26 kwietnia 2023 r. w sprawie szczegółowego zakresu działania Ministra Cyfryzacji (Dz. U. poz. 792).</w:t>
      </w:r>
    </w:p>
  </w:footnote>
  <w:footnote w:id="2">
    <w:p w14:paraId="4EA823C4" w14:textId="4A502777" w:rsidR="004B075D" w:rsidRPr="00A25596" w:rsidRDefault="004B075D" w:rsidP="003B5F0E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</w:r>
      <w:r w:rsidRPr="003B5F0E">
        <w:t>Zmiana wymienionego rozporządzenia została ogłoszona w Dz. Urz. UE L 215 z 07.07.2020, str. 3</w:t>
      </w:r>
      <w:r>
        <w:t>.</w:t>
      </w:r>
    </w:p>
  </w:footnote>
  <w:footnote w:id="3">
    <w:p w14:paraId="5C3B6DCE" w14:textId="16A3B8B7" w:rsidR="004B075D" w:rsidRDefault="004B075D" w:rsidP="006D4351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rPr>
          <w:rStyle w:val="IGindeksgrny"/>
        </w:rPr>
        <w:tab/>
      </w:r>
      <w:r w:rsidRPr="00FA6F36">
        <w:rPr>
          <w:rStyle w:val="IGindeksgrny"/>
          <w:vertAlign w:val="baseline"/>
        </w:rPr>
        <w:t>Zmiany wymienionego rozporządzenia zostały ogłoszone w Dz. Urz. UE L 329 z 15.12.2015, str. 28, Dz. Urz. UE L 149 z 07.06.2016, str. 10, Dz. Urz. UE L 156 z 20.06.2017, str. 1, Dz. Urz. UE L 236 z 14.09.2017, str. 28, Dz. Urz. UE L 26 z 31.01.2018, str. 53, Dz. Urz. UE L 215 z 07.07.2020, str. 3, Dz. Urz. UE L 89 z 16.03.2021, str. 1, Dz. Urz. UE L 270 z 29.07.2021, str. 39, Dz. Urz. UE L 119 z 05.05.2023, str. 159 oraz Dz. Urz. UE L 167 z 30.06.2023, str. 1.</w:t>
      </w:r>
    </w:p>
  </w:footnote>
  <w:footnote w:id="4">
    <w:p w14:paraId="03019B42" w14:textId="77777777" w:rsidR="004B075D" w:rsidRPr="00D469A7" w:rsidRDefault="004B075D" w:rsidP="00C03316">
      <w:pPr>
        <w:pStyle w:val="Tekstprzypisudolnego"/>
        <w:spacing w:line="240" w:lineRule="auto"/>
        <w:ind w:left="-993" w:right="-869"/>
        <w:jc w:val="both"/>
        <w:rPr>
          <w:rFonts w:ascii="Times New Roman" w:hAnsi="Times New Roman"/>
          <w:sz w:val="20"/>
          <w:szCs w:val="20"/>
        </w:rPr>
      </w:pPr>
      <w:r w:rsidRPr="00D469A7">
        <w:rPr>
          <w:rStyle w:val="Odwoanieprzypisudolnego"/>
          <w:rFonts w:ascii="Times New Roman" w:hAnsi="Times New Roman"/>
          <w:sz w:val="20"/>
          <w:szCs w:val="20"/>
        </w:rPr>
        <w:footnoteRef/>
      </w:r>
      <w:r w:rsidRPr="00D469A7">
        <w:rPr>
          <w:rStyle w:val="IGindeksgrny"/>
          <w:rFonts w:ascii="Times New Roman" w:hAnsi="Times New Roman"/>
          <w:sz w:val="20"/>
          <w:szCs w:val="20"/>
        </w:rPr>
        <w:t xml:space="preserve">) </w:t>
      </w:r>
      <w:r w:rsidRPr="00D469A7">
        <w:rPr>
          <w:rStyle w:val="IGindeksgrny"/>
          <w:rFonts w:ascii="Times New Roman" w:hAnsi="Times New Roman"/>
          <w:sz w:val="20"/>
          <w:szCs w:val="20"/>
          <w:vertAlign w:val="baseline"/>
        </w:rPr>
        <w:t>„Przedsiębiorstwo” w rozumieniu Zawiadomienia Komisji w sprawie pojęcia pomocy państwa w rozumieniu art. 107 ust. 1 Traktatu o funkcjonowaniu Unii Europejskiej (</w:t>
      </w:r>
      <w:hyperlink r:id="rId1" w:anchor="ntc5-C_2016262PL.01000101-E0005" w:history="1">
        <w:r w:rsidRPr="00D469A7">
          <w:rPr>
            <w:rStyle w:val="Hipercze"/>
            <w:rFonts w:ascii="Times New Roman" w:hAnsi="Times New Roman"/>
            <w:sz w:val="20"/>
            <w:szCs w:val="20"/>
          </w:rPr>
          <w:t>C/2016/2946</w:t>
        </w:r>
      </w:hyperlink>
      <w:r w:rsidRPr="00D469A7">
        <w:rPr>
          <w:rStyle w:val="IGindeksgrny"/>
          <w:rFonts w:ascii="Times New Roman" w:hAnsi="Times New Roman"/>
          <w:sz w:val="20"/>
          <w:szCs w:val="20"/>
          <w:vertAlign w:val="baseline"/>
        </w:rPr>
        <w:t xml:space="preserve">) </w:t>
      </w:r>
      <w:r w:rsidRPr="006E5422">
        <w:rPr>
          <w:rStyle w:val="IGindeksgrny"/>
          <w:rFonts w:ascii="Times New Roman" w:hAnsi="Times New Roman"/>
          <w:sz w:val="20"/>
          <w:szCs w:val="20"/>
          <w:vertAlign w:val="baseline"/>
        </w:rPr>
        <w:t>–</w:t>
      </w:r>
      <w:r w:rsidRPr="00D469A7">
        <w:rPr>
          <w:rStyle w:val="IGindeksgrny"/>
          <w:rFonts w:ascii="Times New Roman" w:hAnsi="Times New Roman"/>
          <w:sz w:val="20"/>
          <w:szCs w:val="20"/>
          <w:vertAlign w:val="baseline"/>
        </w:rPr>
        <w:t xml:space="preserve"> podmiot prowadzący działalność gospodarczą, bez względu na jego status prawny i sposób jego finansowania.</w:t>
      </w:r>
    </w:p>
  </w:footnote>
  <w:footnote w:id="5">
    <w:p w14:paraId="6FADDAFC" w14:textId="77777777" w:rsidR="004B075D" w:rsidRPr="007958D9" w:rsidRDefault="004B075D" w:rsidP="00120528">
      <w:pPr>
        <w:pStyle w:val="Tekstprzypisudolnego"/>
        <w:spacing w:line="240" w:lineRule="auto"/>
        <w:ind w:left="-993" w:right="-869"/>
        <w:jc w:val="both"/>
        <w:rPr>
          <w:sz w:val="20"/>
          <w:szCs w:val="20"/>
        </w:rPr>
      </w:pPr>
      <w:r w:rsidRPr="00D469A7">
        <w:rPr>
          <w:rStyle w:val="Odwoanieprzypisudolnego"/>
          <w:rFonts w:ascii="Times New Roman" w:hAnsi="Times New Roman"/>
          <w:sz w:val="20"/>
          <w:szCs w:val="20"/>
        </w:rPr>
        <w:footnoteRef/>
      </w:r>
      <w:r w:rsidRPr="00D469A7">
        <w:rPr>
          <w:rFonts w:ascii="Times New Roman" w:hAnsi="Times New Roman"/>
          <w:sz w:val="20"/>
          <w:szCs w:val="20"/>
          <w:vertAlign w:val="superscript"/>
        </w:rPr>
        <w:t xml:space="preserve">) </w:t>
      </w:r>
      <w:r w:rsidRPr="00D469A7">
        <w:rPr>
          <w:rFonts w:ascii="Times New Roman" w:hAnsi="Times New Roman"/>
          <w:sz w:val="20"/>
          <w:szCs w:val="20"/>
        </w:rPr>
        <w:t>Wskazanie liczby jest niemożliwe ponieważ zakwalifikowanie określonego podmiotu jako „przedsiębiorstwa” zależy całkowicie od charakteru jego działalności. Ta ogólna zasa</w:t>
      </w:r>
      <w:r>
        <w:rPr>
          <w:rFonts w:ascii="Times New Roman" w:hAnsi="Times New Roman"/>
          <w:sz w:val="20"/>
          <w:szCs w:val="20"/>
        </w:rPr>
        <w:t xml:space="preserve">da ma trzy ważne konsekwencje. </w:t>
      </w:r>
      <w:r w:rsidRPr="00D469A7">
        <w:rPr>
          <w:rFonts w:ascii="Times New Roman" w:hAnsi="Times New Roman"/>
          <w:sz w:val="20"/>
          <w:szCs w:val="20"/>
        </w:rPr>
        <w:t>Po pierwsze, status podmiotu na podstawie prawa krajowego nie jest decydujący. Na przykład podmiot zaklasyfikowany zgodnie z prawem krajowym jako stowarzyszenie lub klub sportowy może jednak zostać uznany za przedsiębiorstwo w rozumieniu art. 107 ust. 1 Traktatu. Ta sama zasada ma zastosowanie do podmiotu, który formalnie jest częścią administracji publicznej. Jedynym istotnym kryterium jest fakt, czy podmiot ten prowadzi działalność gospodarczą. Po drugie, o stosowaniu zasad pomocy państwa nie decyduje to, czy dany podmiot utworzono po to, aby przynosił zyski. Podmioty nienastawione na zysk również mogą oferować na rynku towary i usługi. Po trzecie, klasyfikacja podmiotu jako przedsiębiorstwa zawsze odnosi się do konkretnej działalności. Podmiot prowadzący jednocześnie działalność gospodarczą i działalność o charakterze niegospodarczym powinien być traktowany jako przedsiębiorstwo jedynie w odniesieniu do działalności gospodarczej (Zawiadomienie Komisji w sprawie pojęcia pomocy państwa w rozumieniu art. 107 ust</w:t>
      </w:r>
      <w:r>
        <w:rPr>
          <w:rFonts w:ascii="Times New Roman" w:hAnsi="Times New Roman"/>
          <w:sz w:val="20"/>
          <w:szCs w:val="20"/>
        </w:rPr>
        <w:t>. 1 Traktatu o </w:t>
      </w:r>
      <w:r w:rsidRPr="00D469A7">
        <w:rPr>
          <w:rFonts w:ascii="Times New Roman" w:hAnsi="Times New Roman"/>
          <w:sz w:val="20"/>
          <w:szCs w:val="20"/>
        </w:rPr>
        <w:t>f</w:t>
      </w:r>
      <w:r>
        <w:rPr>
          <w:rFonts w:ascii="Times New Roman" w:hAnsi="Times New Roman"/>
          <w:sz w:val="20"/>
          <w:szCs w:val="20"/>
        </w:rPr>
        <w:t xml:space="preserve">unkcjonowaniu Unii Europejskiej, </w:t>
      </w:r>
      <w:hyperlink r:id="rId2" w:anchor="ntc5-C_2016262PL.01000101-E0005" w:history="1">
        <w:r w:rsidRPr="00D469A7">
          <w:rPr>
            <w:rStyle w:val="Hipercze"/>
            <w:rFonts w:ascii="Times New Roman" w:hAnsi="Times New Roman"/>
            <w:sz w:val="20"/>
            <w:szCs w:val="20"/>
          </w:rPr>
          <w:t>C/2016/2946</w:t>
        </w:r>
      </w:hyperlink>
      <w:r>
        <w:rPr>
          <w:rFonts w:ascii="Times New Roman" w:hAnsi="Times New Roman"/>
          <w:sz w:val="20"/>
          <w:szCs w:val="20"/>
        </w:rPr>
        <w:t>)</w:t>
      </w:r>
      <w:r w:rsidRPr="00D469A7">
        <w:rPr>
          <w:rFonts w:ascii="Times New Roman" w:hAnsi="Times New Roman"/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B0276" w14:textId="10390442" w:rsidR="004B075D" w:rsidRPr="00B371CC" w:rsidRDefault="004B075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6824C4">
      <w:rPr>
        <w:noProof/>
      </w:rPr>
      <w:t>3</w:t>
    </w:r>
    <w:r>
      <w:rPr>
        <w:noProof/>
      </w:rPr>
      <w:fldChar w:fldCharType="end"/>
    </w:r>
    <w:r>
      <w:t xml:space="preserve"> –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9C98BD" w14:textId="792BEC44" w:rsidR="004B075D" w:rsidRPr="00B371CC" w:rsidRDefault="004B075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120528">
      <w:rPr>
        <w:noProof/>
      </w:rPr>
      <w:t>12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6586344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DE7761"/>
    <w:multiLevelType w:val="hybridMultilevel"/>
    <w:tmpl w:val="AEA230B6"/>
    <w:lvl w:ilvl="0" w:tplc="163C57B8">
      <w:start w:val="1"/>
      <w:numFmt w:val="decimal"/>
      <w:lvlText w:val="%1)"/>
      <w:lvlJc w:val="left"/>
      <w:pPr>
        <w:ind w:left="876" w:hanging="51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37364"/>
    <w:multiLevelType w:val="hybridMultilevel"/>
    <w:tmpl w:val="07CC9D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41822"/>
    <w:multiLevelType w:val="hybridMultilevel"/>
    <w:tmpl w:val="14429A04"/>
    <w:lvl w:ilvl="0" w:tplc="22FC9E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D08024C"/>
    <w:multiLevelType w:val="hybridMultilevel"/>
    <w:tmpl w:val="A768CB80"/>
    <w:lvl w:ilvl="0" w:tplc="96CE0A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B67F54"/>
    <w:multiLevelType w:val="hybridMultilevel"/>
    <w:tmpl w:val="3FB2D9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ED45B4"/>
    <w:multiLevelType w:val="hybridMultilevel"/>
    <w:tmpl w:val="827C76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16F33"/>
    <w:multiLevelType w:val="hybridMultilevel"/>
    <w:tmpl w:val="A0AE9E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B5460"/>
    <w:multiLevelType w:val="hybridMultilevel"/>
    <w:tmpl w:val="DE3052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E6621"/>
    <w:multiLevelType w:val="hybridMultilevel"/>
    <w:tmpl w:val="B9F8E2C4"/>
    <w:lvl w:ilvl="0" w:tplc="96CE0AF8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0" w15:restartNumberingAfterBreak="0">
    <w:nsid w:val="30EF6AC6"/>
    <w:multiLevelType w:val="hybridMultilevel"/>
    <w:tmpl w:val="EFB48D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AF3F95"/>
    <w:multiLevelType w:val="hybridMultilevel"/>
    <w:tmpl w:val="E2F8C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2A41E7"/>
    <w:multiLevelType w:val="hybridMultilevel"/>
    <w:tmpl w:val="815405A2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A56C36"/>
    <w:multiLevelType w:val="hybridMultilevel"/>
    <w:tmpl w:val="50228B5C"/>
    <w:lvl w:ilvl="0" w:tplc="22FC9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212F74"/>
    <w:multiLevelType w:val="hybridMultilevel"/>
    <w:tmpl w:val="CAC470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6F70EE"/>
    <w:multiLevelType w:val="hybridMultilevel"/>
    <w:tmpl w:val="5972D9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EC1B95"/>
    <w:multiLevelType w:val="hybridMultilevel"/>
    <w:tmpl w:val="9B0478C6"/>
    <w:lvl w:ilvl="0" w:tplc="04150017">
      <w:start w:val="1"/>
      <w:numFmt w:val="lowerLetter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7" w15:restartNumberingAfterBreak="0">
    <w:nsid w:val="5862657E"/>
    <w:multiLevelType w:val="hybridMultilevel"/>
    <w:tmpl w:val="DE3052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AB497D"/>
    <w:multiLevelType w:val="hybridMultilevel"/>
    <w:tmpl w:val="44362476"/>
    <w:lvl w:ilvl="0" w:tplc="C2F6F8FA">
      <w:start w:val="1"/>
      <w:numFmt w:val="decimal"/>
      <w:lvlText w:val="%1)"/>
      <w:lvlJc w:val="left"/>
      <w:pPr>
        <w:ind w:left="380" w:hanging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3A0549"/>
    <w:multiLevelType w:val="hybridMultilevel"/>
    <w:tmpl w:val="D0B8A0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8368D4"/>
    <w:multiLevelType w:val="hybridMultilevel"/>
    <w:tmpl w:val="CAC470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0F467B"/>
    <w:multiLevelType w:val="hybridMultilevel"/>
    <w:tmpl w:val="4FCA5FA4"/>
    <w:lvl w:ilvl="0" w:tplc="04150013">
      <w:start w:val="1"/>
      <w:numFmt w:val="upperRoman"/>
      <w:lvlText w:val="%1."/>
      <w:lvlJc w:val="righ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2" w15:restartNumberingAfterBreak="0">
    <w:nsid w:val="722C5FEF"/>
    <w:multiLevelType w:val="hybridMultilevel"/>
    <w:tmpl w:val="59545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524EB5"/>
    <w:multiLevelType w:val="hybridMultilevel"/>
    <w:tmpl w:val="0E263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FB5047"/>
    <w:multiLevelType w:val="hybridMultilevel"/>
    <w:tmpl w:val="CFEAF0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1"/>
  </w:num>
  <w:num w:numId="3">
    <w:abstractNumId w:val="0"/>
  </w:num>
  <w:num w:numId="4">
    <w:abstractNumId w:val="7"/>
  </w:num>
  <w:num w:numId="5">
    <w:abstractNumId w:val="19"/>
  </w:num>
  <w:num w:numId="6">
    <w:abstractNumId w:val="24"/>
  </w:num>
  <w:num w:numId="7">
    <w:abstractNumId w:val="2"/>
  </w:num>
  <w:num w:numId="8">
    <w:abstractNumId w:val="16"/>
  </w:num>
  <w:num w:numId="9">
    <w:abstractNumId w:val="6"/>
  </w:num>
  <w:num w:numId="10">
    <w:abstractNumId w:val="17"/>
  </w:num>
  <w:num w:numId="11">
    <w:abstractNumId w:val="20"/>
  </w:num>
  <w:num w:numId="12">
    <w:abstractNumId w:val="13"/>
  </w:num>
  <w:num w:numId="13">
    <w:abstractNumId w:val="10"/>
  </w:num>
  <w:num w:numId="14">
    <w:abstractNumId w:val="11"/>
  </w:num>
  <w:num w:numId="15">
    <w:abstractNumId w:val="23"/>
  </w:num>
  <w:num w:numId="16">
    <w:abstractNumId w:val="3"/>
  </w:num>
  <w:num w:numId="17">
    <w:abstractNumId w:val="22"/>
  </w:num>
  <w:num w:numId="18">
    <w:abstractNumId w:val="8"/>
  </w:num>
  <w:num w:numId="19">
    <w:abstractNumId w:val="14"/>
  </w:num>
  <w:num w:numId="20">
    <w:abstractNumId w:val="15"/>
  </w:num>
  <w:num w:numId="21">
    <w:abstractNumId w:val="18"/>
  </w:num>
  <w:num w:numId="22">
    <w:abstractNumId w:val="1"/>
  </w:num>
  <w:num w:numId="23">
    <w:abstractNumId w:val="5"/>
  </w:num>
  <w:num w:numId="24">
    <w:abstractNumId w:val="9"/>
  </w:num>
  <w:num w:numId="25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movePersonalInformation/>
  <w:removeDateAndTime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revisionView w:inkAnnotation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237"/>
    <w:rsid w:val="000012DA"/>
    <w:rsid w:val="00001D7E"/>
    <w:rsid w:val="00001E0A"/>
    <w:rsid w:val="00001EBE"/>
    <w:rsid w:val="0000246E"/>
    <w:rsid w:val="00003862"/>
    <w:rsid w:val="00003FA2"/>
    <w:rsid w:val="0000662E"/>
    <w:rsid w:val="00006F9A"/>
    <w:rsid w:val="00006FB4"/>
    <w:rsid w:val="00006FDE"/>
    <w:rsid w:val="000115E9"/>
    <w:rsid w:val="00011669"/>
    <w:rsid w:val="00012A35"/>
    <w:rsid w:val="00016099"/>
    <w:rsid w:val="00016327"/>
    <w:rsid w:val="0001637F"/>
    <w:rsid w:val="0001661A"/>
    <w:rsid w:val="000171ED"/>
    <w:rsid w:val="00017DC2"/>
    <w:rsid w:val="00017EEB"/>
    <w:rsid w:val="00021522"/>
    <w:rsid w:val="000233BC"/>
    <w:rsid w:val="00023471"/>
    <w:rsid w:val="00023F13"/>
    <w:rsid w:val="00024726"/>
    <w:rsid w:val="00027747"/>
    <w:rsid w:val="000301BF"/>
    <w:rsid w:val="00030634"/>
    <w:rsid w:val="000319C1"/>
    <w:rsid w:val="00031A8B"/>
    <w:rsid w:val="00031BCA"/>
    <w:rsid w:val="000330FA"/>
    <w:rsid w:val="000331F5"/>
    <w:rsid w:val="00033605"/>
    <w:rsid w:val="0003362F"/>
    <w:rsid w:val="0003692F"/>
    <w:rsid w:val="00036B63"/>
    <w:rsid w:val="00037E1A"/>
    <w:rsid w:val="00040B3E"/>
    <w:rsid w:val="0004108F"/>
    <w:rsid w:val="00041B39"/>
    <w:rsid w:val="00043495"/>
    <w:rsid w:val="00043A20"/>
    <w:rsid w:val="00046A00"/>
    <w:rsid w:val="00046A75"/>
    <w:rsid w:val="00046E52"/>
    <w:rsid w:val="00047312"/>
    <w:rsid w:val="00047CFA"/>
    <w:rsid w:val="00050803"/>
    <w:rsid w:val="000508BD"/>
    <w:rsid w:val="000508ED"/>
    <w:rsid w:val="00050FB2"/>
    <w:rsid w:val="000510A3"/>
    <w:rsid w:val="000517AB"/>
    <w:rsid w:val="0005339C"/>
    <w:rsid w:val="000540CD"/>
    <w:rsid w:val="0005571B"/>
    <w:rsid w:val="00055C0C"/>
    <w:rsid w:val="000563BB"/>
    <w:rsid w:val="00057AB3"/>
    <w:rsid w:val="00060076"/>
    <w:rsid w:val="000600F8"/>
    <w:rsid w:val="00060432"/>
    <w:rsid w:val="00060752"/>
    <w:rsid w:val="00060D87"/>
    <w:rsid w:val="000615A5"/>
    <w:rsid w:val="00062C14"/>
    <w:rsid w:val="00063A45"/>
    <w:rsid w:val="00064E4C"/>
    <w:rsid w:val="00065A21"/>
    <w:rsid w:val="00066508"/>
    <w:rsid w:val="00066901"/>
    <w:rsid w:val="000672BE"/>
    <w:rsid w:val="00070E7F"/>
    <w:rsid w:val="00070F22"/>
    <w:rsid w:val="00071BEE"/>
    <w:rsid w:val="000735A7"/>
    <w:rsid w:val="000736CD"/>
    <w:rsid w:val="0007533B"/>
    <w:rsid w:val="0007545D"/>
    <w:rsid w:val="000760BF"/>
    <w:rsid w:val="0007613E"/>
    <w:rsid w:val="00076BFC"/>
    <w:rsid w:val="00076CE7"/>
    <w:rsid w:val="000800D6"/>
    <w:rsid w:val="000814A7"/>
    <w:rsid w:val="00084AFD"/>
    <w:rsid w:val="00084D6D"/>
    <w:rsid w:val="0008557B"/>
    <w:rsid w:val="00085A19"/>
    <w:rsid w:val="00085CE7"/>
    <w:rsid w:val="0008616B"/>
    <w:rsid w:val="000861D0"/>
    <w:rsid w:val="000866AC"/>
    <w:rsid w:val="000868BB"/>
    <w:rsid w:val="00087B77"/>
    <w:rsid w:val="000906EE"/>
    <w:rsid w:val="000910AA"/>
    <w:rsid w:val="00091BA2"/>
    <w:rsid w:val="0009258D"/>
    <w:rsid w:val="000944EF"/>
    <w:rsid w:val="000954C2"/>
    <w:rsid w:val="00095574"/>
    <w:rsid w:val="000969FC"/>
    <w:rsid w:val="0009732D"/>
    <w:rsid w:val="000973F0"/>
    <w:rsid w:val="000A0C79"/>
    <w:rsid w:val="000A1296"/>
    <w:rsid w:val="000A1C27"/>
    <w:rsid w:val="000A1DAD"/>
    <w:rsid w:val="000A2649"/>
    <w:rsid w:val="000A2F1C"/>
    <w:rsid w:val="000A323B"/>
    <w:rsid w:val="000A3627"/>
    <w:rsid w:val="000A3BC7"/>
    <w:rsid w:val="000A5D80"/>
    <w:rsid w:val="000A6D3B"/>
    <w:rsid w:val="000B07B4"/>
    <w:rsid w:val="000B1C2F"/>
    <w:rsid w:val="000B298D"/>
    <w:rsid w:val="000B3BD5"/>
    <w:rsid w:val="000B5B2D"/>
    <w:rsid w:val="000B5DCE"/>
    <w:rsid w:val="000B70E0"/>
    <w:rsid w:val="000C011A"/>
    <w:rsid w:val="000C05BA"/>
    <w:rsid w:val="000C0E8F"/>
    <w:rsid w:val="000C166F"/>
    <w:rsid w:val="000C1846"/>
    <w:rsid w:val="000C1C6D"/>
    <w:rsid w:val="000C278B"/>
    <w:rsid w:val="000C40AC"/>
    <w:rsid w:val="000C4BC4"/>
    <w:rsid w:val="000C78A2"/>
    <w:rsid w:val="000D0110"/>
    <w:rsid w:val="000D16A3"/>
    <w:rsid w:val="000D1A04"/>
    <w:rsid w:val="000D1C3B"/>
    <w:rsid w:val="000D1F1E"/>
    <w:rsid w:val="000D2468"/>
    <w:rsid w:val="000D318A"/>
    <w:rsid w:val="000D3252"/>
    <w:rsid w:val="000D45EE"/>
    <w:rsid w:val="000D6173"/>
    <w:rsid w:val="000D6F83"/>
    <w:rsid w:val="000D7B6A"/>
    <w:rsid w:val="000E25CC"/>
    <w:rsid w:val="000E286F"/>
    <w:rsid w:val="000E3694"/>
    <w:rsid w:val="000E490F"/>
    <w:rsid w:val="000E4AFE"/>
    <w:rsid w:val="000E50B8"/>
    <w:rsid w:val="000E6241"/>
    <w:rsid w:val="000E77CC"/>
    <w:rsid w:val="000F1AF4"/>
    <w:rsid w:val="000F2BE3"/>
    <w:rsid w:val="000F3D0D"/>
    <w:rsid w:val="000F4312"/>
    <w:rsid w:val="000F5A88"/>
    <w:rsid w:val="000F6E1D"/>
    <w:rsid w:val="000F6ED4"/>
    <w:rsid w:val="000F787C"/>
    <w:rsid w:val="000F7A6E"/>
    <w:rsid w:val="001007F4"/>
    <w:rsid w:val="00103D1F"/>
    <w:rsid w:val="001042BA"/>
    <w:rsid w:val="00106281"/>
    <w:rsid w:val="00106D03"/>
    <w:rsid w:val="00110465"/>
    <w:rsid w:val="00110628"/>
    <w:rsid w:val="001116A4"/>
    <w:rsid w:val="00111F83"/>
    <w:rsid w:val="0011245A"/>
    <w:rsid w:val="00113211"/>
    <w:rsid w:val="0011493E"/>
    <w:rsid w:val="00114CE5"/>
    <w:rsid w:val="00115B72"/>
    <w:rsid w:val="001176FB"/>
    <w:rsid w:val="001200AD"/>
    <w:rsid w:val="00120528"/>
    <w:rsid w:val="001209EC"/>
    <w:rsid w:val="00120A9E"/>
    <w:rsid w:val="00122443"/>
    <w:rsid w:val="00122BFC"/>
    <w:rsid w:val="001236E5"/>
    <w:rsid w:val="00123736"/>
    <w:rsid w:val="00124346"/>
    <w:rsid w:val="001257F2"/>
    <w:rsid w:val="00125A9C"/>
    <w:rsid w:val="001270A2"/>
    <w:rsid w:val="00131237"/>
    <w:rsid w:val="001329AC"/>
    <w:rsid w:val="00132C54"/>
    <w:rsid w:val="001345C0"/>
    <w:rsid w:val="001347DE"/>
    <w:rsid w:val="00134CA0"/>
    <w:rsid w:val="0014026F"/>
    <w:rsid w:val="0014191F"/>
    <w:rsid w:val="0014438D"/>
    <w:rsid w:val="00145448"/>
    <w:rsid w:val="00146F61"/>
    <w:rsid w:val="00147A47"/>
    <w:rsid w:val="00147AA1"/>
    <w:rsid w:val="001520CF"/>
    <w:rsid w:val="0015257E"/>
    <w:rsid w:val="00154A94"/>
    <w:rsid w:val="001561C9"/>
    <w:rsid w:val="0015667C"/>
    <w:rsid w:val="00156A72"/>
    <w:rsid w:val="00157110"/>
    <w:rsid w:val="0015742A"/>
    <w:rsid w:val="00157816"/>
    <w:rsid w:val="00157DA1"/>
    <w:rsid w:val="00160BE1"/>
    <w:rsid w:val="0016262A"/>
    <w:rsid w:val="00163147"/>
    <w:rsid w:val="001648BC"/>
    <w:rsid w:val="00164970"/>
    <w:rsid w:val="00164C57"/>
    <w:rsid w:val="00164C9D"/>
    <w:rsid w:val="001651A3"/>
    <w:rsid w:val="00166851"/>
    <w:rsid w:val="001673FF"/>
    <w:rsid w:val="00167881"/>
    <w:rsid w:val="00170369"/>
    <w:rsid w:val="00172F7A"/>
    <w:rsid w:val="00173150"/>
    <w:rsid w:val="00173390"/>
    <w:rsid w:val="001736F0"/>
    <w:rsid w:val="00173BB3"/>
    <w:rsid w:val="001740D0"/>
    <w:rsid w:val="00174F2C"/>
    <w:rsid w:val="0017728F"/>
    <w:rsid w:val="00177F38"/>
    <w:rsid w:val="00180150"/>
    <w:rsid w:val="00180897"/>
    <w:rsid w:val="00180F2A"/>
    <w:rsid w:val="00182548"/>
    <w:rsid w:val="00184AB1"/>
    <w:rsid w:val="00184B91"/>
    <w:rsid w:val="00184D4A"/>
    <w:rsid w:val="00186EC1"/>
    <w:rsid w:val="00186EF9"/>
    <w:rsid w:val="001903BE"/>
    <w:rsid w:val="00191E1F"/>
    <w:rsid w:val="0019473B"/>
    <w:rsid w:val="001952B1"/>
    <w:rsid w:val="00196782"/>
    <w:rsid w:val="00196E39"/>
    <w:rsid w:val="00197649"/>
    <w:rsid w:val="001A01FB"/>
    <w:rsid w:val="001A10E9"/>
    <w:rsid w:val="001A12D1"/>
    <w:rsid w:val="001A183D"/>
    <w:rsid w:val="001A2B65"/>
    <w:rsid w:val="001A3850"/>
    <w:rsid w:val="001A3CD3"/>
    <w:rsid w:val="001A46F7"/>
    <w:rsid w:val="001A5BEF"/>
    <w:rsid w:val="001A7F15"/>
    <w:rsid w:val="001B0049"/>
    <w:rsid w:val="001B3073"/>
    <w:rsid w:val="001B342E"/>
    <w:rsid w:val="001B3DB5"/>
    <w:rsid w:val="001B45F9"/>
    <w:rsid w:val="001B5305"/>
    <w:rsid w:val="001B7D64"/>
    <w:rsid w:val="001C1832"/>
    <w:rsid w:val="001C188C"/>
    <w:rsid w:val="001C4884"/>
    <w:rsid w:val="001C4FBE"/>
    <w:rsid w:val="001D1783"/>
    <w:rsid w:val="001D19BE"/>
    <w:rsid w:val="001D301C"/>
    <w:rsid w:val="001D4D48"/>
    <w:rsid w:val="001D53CD"/>
    <w:rsid w:val="001D55A3"/>
    <w:rsid w:val="001D5AF5"/>
    <w:rsid w:val="001D6548"/>
    <w:rsid w:val="001D6D07"/>
    <w:rsid w:val="001E0779"/>
    <w:rsid w:val="001E1E73"/>
    <w:rsid w:val="001E21EA"/>
    <w:rsid w:val="001E4E0C"/>
    <w:rsid w:val="001E526D"/>
    <w:rsid w:val="001E5655"/>
    <w:rsid w:val="001E5D6A"/>
    <w:rsid w:val="001E62E8"/>
    <w:rsid w:val="001E6332"/>
    <w:rsid w:val="001F1832"/>
    <w:rsid w:val="001F220F"/>
    <w:rsid w:val="001F25B3"/>
    <w:rsid w:val="001F29F6"/>
    <w:rsid w:val="001F38C7"/>
    <w:rsid w:val="001F4368"/>
    <w:rsid w:val="001F5043"/>
    <w:rsid w:val="001F5462"/>
    <w:rsid w:val="001F6616"/>
    <w:rsid w:val="00202BD4"/>
    <w:rsid w:val="002049EE"/>
    <w:rsid w:val="00204A97"/>
    <w:rsid w:val="00205837"/>
    <w:rsid w:val="00205CBF"/>
    <w:rsid w:val="00207A5B"/>
    <w:rsid w:val="00210192"/>
    <w:rsid w:val="002114EF"/>
    <w:rsid w:val="00212535"/>
    <w:rsid w:val="00213208"/>
    <w:rsid w:val="00213A67"/>
    <w:rsid w:val="00214719"/>
    <w:rsid w:val="00215443"/>
    <w:rsid w:val="002166AD"/>
    <w:rsid w:val="00217871"/>
    <w:rsid w:val="00217991"/>
    <w:rsid w:val="002213B1"/>
    <w:rsid w:val="00221ED8"/>
    <w:rsid w:val="002231EA"/>
    <w:rsid w:val="00223FDF"/>
    <w:rsid w:val="0022494A"/>
    <w:rsid w:val="00224E62"/>
    <w:rsid w:val="002279C0"/>
    <w:rsid w:val="00232DA5"/>
    <w:rsid w:val="00233AF2"/>
    <w:rsid w:val="0023727E"/>
    <w:rsid w:val="00241C97"/>
    <w:rsid w:val="00242081"/>
    <w:rsid w:val="00242856"/>
    <w:rsid w:val="0024352A"/>
    <w:rsid w:val="00243658"/>
    <w:rsid w:val="00243777"/>
    <w:rsid w:val="002441CD"/>
    <w:rsid w:val="00244D32"/>
    <w:rsid w:val="00245054"/>
    <w:rsid w:val="002451C7"/>
    <w:rsid w:val="00245361"/>
    <w:rsid w:val="00245A02"/>
    <w:rsid w:val="002501A3"/>
    <w:rsid w:val="00251439"/>
    <w:rsid w:val="0025166C"/>
    <w:rsid w:val="00253138"/>
    <w:rsid w:val="002550E9"/>
    <w:rsid w:val="002555D4"/>
    <w:rsid w:val="00255E95"/>
    <w:rsid w:val="0025667B"/>
    <w:rsid w:val="002610E6"/>
    <w:rsid w:val="0026120F"/>
    <w:rsid w:val="002614B5"/>
    <w:rsid w:val="0026174E"/>
    <w:rsid w:val="00261A16"/>
    <w:rsid w:val="00262954"/>
    <w:rsid w:val="00263522"/>
    <w:rsid w:val="00263FEB"/>
    <w:rsid w:val="00264EC6"/>
    <w:rsid w:val="00265011"/>
    <w:rsid w:val="002651BA"/>
    <w:rsid w:val="002653E3"/>
    <w:rsid w:val="00266B6D"/>
    <w:rsid w:val="00267687"/>
    <w:rsid w:val="00271013"/>
    <w:rsid w:val="0027126C"/>
    <w:rsid w:val="00273A67"/>
    <w:rsid w:val="00273FE4"/>
    <w:rsid w:val="0027485B"/>
    <w:rsid w:val="002765B4"/>
    <w:rsid w:val="00276A94"/>
    <w:rsid w:val="002774FC"/>
    <w:rsid w:val="002803A5"/>
    <w:rsid w:val="002803CF"/>
    <w:rsid w:val="00282200"/>
    <w:rsid w:val="00283607"/>
    <w:rsid w:val="00287E65"/>
    <w:rsid w:val="00291E9D"/>
    <w:rsid w:val="0029405D"/>
    <w:rsid w:val="00294FA6"/>
    <w:rsid w:val="00295A6F"/>
    <w:rsid w:val="002960A3"/>
    <w:rsid w:val="00297C4A"/>
    <w:rsid w:val="002A162B"/>
    <w:rsid w:val="002A20C4"/>
    <w:rsid w:val="002A549D"/>
    <w:rsid w:val="002A570F"/>
    <w:rsid w:val="002A7292"/>
    <w:rsid w:val="002A7358"/>
    <w:rsid w:val="002A7874"/>
    <w:rsid w:val="002A7902"/>
    <w:rsid w:val="002B0F6B"/>
    <w:rsid w:val="002B23B8"/>
    <w:rsid w:val="002B2C6A"/>
    <w:rsid w:val="002B4429"/>
    <w:rsid w:val="002B485A"/>
    <w:rsid w:val="002B65BB"/>
    <w:rsid w:val="002B68A6"/>
    <w:rsid w:val="002B7559"/>
    <w:rsid w:val="002B770F"/>
    <w:rsid w:val="002B7FAF"/>
    <w:rsid w:val="002C0C0F"/>
    <w:rsid w:val="002C2080"/>
    <w:rsid w:val="002C37FD"/>
    <w:rsid w:val="002C471E"/>
    <w:rsid w:val="002C6047"/>
    <w:rsid w:val="002C7140"/>
    <w:rsid w:val="002D0C4F"/>
    <w:rsid w:val="002D0F89"/>
    <w:rsid w:val="002D1364"/>
    <w:rsid w:val="002D4237"/>
    <w:rsid w:val="002D4825"/>
    <w:rsid w:val="002D4D30"/>
    <w:rsid w:val="002D5000"/>
    <w:rsid w:val="002D598D"/>
    <w:rsid w:val="002D659A"/>
    <w:rsid w:val="002D7079"/>
    <w:rsid w:val="002D7188"/>
    <w:rsid w:val="002E0A07"/>
    <w:rsid w:val="002E1DE3"/>
    <w:rsid w:val="002E2AB6"/>
    <w:rsid w:val="002E2E7A"/>
    <w:rsid w:val="002E3F34"/>
    <w:rsid w:val="002E43CC"/>
    <w:rsid w:val="002E566F"/>
    <w:rsid w:val="002E5AA8"/>
    <w:rsid w:val="002E5F79"/>
    <w:rsid w:val="002E64FA"/>
    <w:rsid w:val="002E722F"/>
    <w:rsid w:val="002F0A00"/>
    <w:rsid w:val="002F0B33"/>
    <w:rsid w:val="002F0CFA"/>
    <w:rsid w:val="002F0F20"/>
    <w:rsid w:val="002F15EF"/>
    <w:rsid w:val="002F19EA"/>
    <w:rsid w:val="002F3D78"/>
    <w:rsid w:val="002F4B11"/>
    <w:rsid w:val="002F557C"/>
    <w:rsid w:val="002F5C0D"/>
    <w:rsid w:val="002F646D"/>
    <w:rsid w:val="002F669F"/>
    <w:rsid w:val="002F7595"/>
    <w:rsid w:val="00301C97"/>
    <w:rsid w:val="003028A6"/>
    <w:rsid w:val="00302ABA"/>
    <w:rsid w:val="0030576B"/>
    <w:rsid w:val="003067F3"/>
    <w:rsid w:val="0030783B"/>
    <w:rsid w:val="0031004C"/>
    <w:rsid w:val="003105F6"/>
    <w:rsid w:val="00311297"/>
    <w:rsid w:val="003113BE"/>
    <w:rsid w:val="003122CA"/>
    <w:rsid w:val="00313720"/>
    <w:rsid w:val="003148FD"/>
    <w:rsid w:val="003149CB"/>
    <w:rsid w:val="00314B2C"/>
    <w:rsid w:val="003151FF"/>
    <w:rsid w:val="0031550D"/>
    <w:rsid w:val="00315CA5"/>
    <w:rsid w:val="00316C8B"/>
    <w:rsid w:val="00317F4D"/>
    <w:rsid w:val="003203A8"/>
    <w:rsid w:val="00321080"/>
    <w:rsid w:val="00321208"/>
    <w:rsid w:val="00322D45"/>
    <w:rsid w:val="0032569A"/>
    <w:rsid w:val="00325A1F"/>
    <w:rsid w:val="003268F9"/>
    <w:rsid w:val="00326A1E"/>
    <w:rsid w:val="00327E23"/>
    <w:rsid w:val="00330BAF"/>
    <w:rsid w:val="00331C54"/>
    <w:rsid w:val="00332701"/>
    <w:rsid w:val="00333172"/>
    <w:rsid w:val="00334E3A"/>
    <w:rsid w:val="003361DD"/>
    <w:rsid w:val="003379A7"/>
    <w:rsid w:val="00340925"/>
    <w:rsid w:val="003412FF"/>
    <w:rsid w:val="00341A6A"/>
    <w:rsid w:val="00341DE6"/>
    <w:rsid w:val="00345B9C"/>
    <w:rsid w:val="003462C5"/>
    <w:rsid w:val="0035004C"/>
    <w:rsid w:val="00350A50"/>
    <w:rsid w:val="00352DAE"/>
    <w:rsid w:val="003532D9"/>
    <w:rsid w:val="00354EB9"/>
    <w:rsid w:val="00355CD1"/>
    <w:rsid w:val="0035610E"/>
    <w:rsid w:val="00356955"/>
    <w:rsid w:val="003579A0"/>
    <w:rsid w:val="003602AE"/>
    <w:rsid w:val="0036044B"/>
    <w:rsid w:val="00360929"/>
    <w:rsid w:val="003641FA"/>
    <w:rsid w:val="003647D5"/>
    <w:rsid w:val="0036729A"/>
    <w:rsid w:val="00367361"/>
    <w:rsid w:val="003674B0"/>
    <w:rsid w:val="0036766D"/>
    <w:rsid w:val="003710CD"/>
    <w:rsid w:val="0037145C"/>
    <w:rsid w:val="00371623"/>
    <w:rsid w:val="003726F4"/>
    <w:rsid w:val="00372EE8"/>
    <w:rsid w:val="00372FE4"/>
    <w:rsid w:val="0037374D"/>
    <w:rsid w:val="003739F7"/>
    <w:rsid w:val="00376942"/>
    <w:rsid w:val="0037727C"/>
    <w:rsid w:val="00377E70"/>
    <w:rsid w:val="003806A8"/>
    <w:rsid w:val="00380904"/>
    <w:rsid w:val="003823EE"/>
    <w:rsid w:val="00382960"/>
    <w:rsid w:val="00382F46"/>
    <w:rsid w:val="00383561"/>
    <w:rsid w:val="00383581"/>
    <w:rsid w:val="00384373"/>
    <w:rsid w:val="003846F7"/>
    <w:rsid w:val="003851ED"/>
    <w:rsid w:val="003855F2"/>
    <w:rsid w:val="00385905"/>
    <w:rsid w:val="00385B39"/>
    <w:rsid w:val="00386785"/>
    <w:rsid w:val="0039034E"/>
    <w:rsid w:val="00390E89"/>
    <w:rsid w:val="003913FE"/>
    <w:rsid w:val="00391B1A"/>
    <w:rsid w:val="00393FB0"/>
    <w:rsid w:val="00394423"/>
    <w:rsid w:val="003945E2"/>
    <w:rsid w:val="00396942"/>
    <w:rsid w:val="00396B49"/>
    <w:rsid w:val="00396E3E"/>
    <w:rsid w:val="003A04E1"/>
    <w:rsid w:val="003A1612"/>
    <w:rsid w:val="003A306E"/>
    <w:rsid w:val="003A60DC"/>
    <w:rsid w:val="003A6A46"/>
    <w:rsid w:val="003A6A69"/>
    <w:rsid w:val="003A7A63"/>
    <w:rsid w:val="003B000C"/>
    <w:rsid w:val="003B0F1D"/>
    <w:rsid w:val="003B2D6F"/>
    <w:rsid w:val="003B2F10"/>
    <w:rsid w:val="003B4A57"/>
    <w:rsid w:val="003B5F0E"/>
    <w:rsid w:val="003B7462"/>
    <w:rsid w:val="003C0AD9"/>
    <w:rsid w:val="003C0ED0"/>
    <w:rsid w:val="003C1D49"/>
    <w:rsid w:val="003C35C4"/>
    <w:rsid w:val="003C36C3"/>
    <w:rsid w:val="003C4F59"/>
    <w:rsid w:val="003C5721"/>
    <w:rsid w:val="003C6EA9"/>
    <w:rsid w:val="003D12C2"/>
    <w:rsid w:val="003D1367"/>
    <w:rsid w:val="003D31B9"/>
    <w:rsid w:val="003D3867"/>
    <w:rsid w:val="003D53D6"/>
    <w:rsid w:val="003D6E3C"/>
    <w:rsid w:val="003D7665"/>
    <w:rsid w:val="003E0D1A"/>
    <w:rsid w:val="003E1FC8"/>
    <w:rsid w:val="003E2DA3"/>
    <w:rsid w:val="003E2E5C"/>
    <w:rsid w:val="003E47DA"/>
    <w:rsid w:val="003F020D"/>
    <w:rsid w:val="003F03D9"/>
    <w:rsid w:val="003F161D"/>
    <w:rsid w:val="003F2FBE"/>
    <w:rsid w:val="003F318D"/>
    <w:rsid w:val="003F3DE6"/>
    <w:rsid w:val="003F5BAE"/>
    <w:rsid w:val="003F5CA1"/>
    <w:rsid w:val="003F6ED7"/>
    <w:rsid w:val="00401C84"/>
    <w:rsid w:val="00403210"/>
    <w:rsid w:val="004035BB"/>
    <w:rsid w:val="004035EB"/>
    <w:rsid w:val="00406C9B"/>
    <w:rsid w:val="00406F03"/>
    <w:rsid w:val="00407332"/>
    <w:rsid w:val="00407828"/>
    <w:rsid w:val="00407DBB"/>
    <w:rsid w:val="00410000"/>
    <w:rsid w:val="00410F3F"/>
    <w:rsid w:val="00412077"/>
    <w:rsid w:val="00413D8E"/>
    <w:rsid w:val="004140F2"/>
    <w:rsid w:val="00416BC7"/>
    <w:rsid w:val="00417B22"/>
    <w:rsid w:val="00421085"/>
    <w:rsid w:val="00421931"/>
    <w:rsid w:val="00421E4D"/>
    <w:rsid w:val="00422094"/>
    <w:rsid w:val="004244EB"/>
    <w:rsid w:val="004245F3"/>
    <w:rsid w:val="0042465E"/>
    <w:rsid w:val="00424DF7"/>
    <w:rsid w:val="00425595"/>
    <w:rsid w:val="004258BD"/>
    <w:rsid w:val="0042722C"/>
    <w:rsid w:val="004310CD"/>
    <w:rsid w:val="00432B76"/>
    <w:rsid w:val="00433079"/>
    <w:rsid w:val="00434D01"/>
    <w:rsid w:val="00434E36"/>
    <w:rsid w:val="00435D26"/>
    <w:rsid w:val="00440C99"/>
    <w:rsid w:val="0044165B"/>
    <w:rsid w:val="0044175C"/>
    <w:rsid w:val="004419BF"/>
    <w:rsid w:val="00441B41"/>
    <w:rsid w:val="0044213A"/>
    <w:rsid w:val="0044221D"/>
    <w:rsid w:val="00443315"/>
    <w:rsid w:val="0044352F"/>
    <w:rsid w:val="00443AE0"/>
    <w:rsid w:val="004450CD"/>
    <w:rsid w:val="00445A0F"/>
    <w:rsid w:val="00445F4D"/>
    <w:rsid w:val="00446AD3"/>
    <w:rsid w:val="00446BFF"/>
    <w:rsid w:val="0044798B"/>
    <w:rsid w:val="0045019C"/>
    <w:rsid w:val="004504C0"/>
    <w:rsid w:val="00451CD1"/>
    <w:rsid w:val="004545EA"/>
    <w:rsid w:val="004550FB"/>
    <w:rsid w:val="00456B81"/>
    <w:rsid w:val="00460A1D"/>
    <w:rsid w:val="00460B25"/>
    <w:rsid w:val="00461112"/>
    <w:rsid w:val="0046111A"/>
    <w:rsid w:val="00462946"/>
    <w:rsid w:val="00462F1F"/>
    <w:rsid w:val="00463F43"/>
    <w:rsid w:val="00464B94"/>
    <w:rsid w:val="004653A8"/>
    <w:rsid w:val="00465A0B"/>
    <w:rsid w:val="00470761"/>
    <w:rsid w:val="0047077C"/>
    <w:rsid w:val="00470B05"/>
    <w:rsid w:val="0047207C"/>
    <w:rsid w:val="004729DA"/>
    <w:rsid w:val="00472CD6"/>
    <w:rsid w:val="0047478B"/>
    <w:rsid w:val="00474E3C"/>
    <w:rsid w:val="00475F07"/>
    <w:rsid w:val="00480A58"/>
    <w:rsid w:val="004813D7"/>
    <w:rsid w:val="00481FB6"/>
    <w:rsid w:val="00482151"/>
    <w:rsid w:val="00482677"/>
    <w:rsid w:val="00485360"/>
    <w:rsid w:val="0048587A"/>
    <w:rsid w:val="004859A1"/>
    <w:rsid w:val="00485FAD"/>
    <w:rsid w:val="00486978"/>
    <w:rsid w:val="00487AED"/>
    <w:rsid w:val="0049068D"/>
    <w:rsid w:val="00491EDF"/>
    <w:rsid w:val="00492A3F"/>
    <w:rsid w:val="00493D33"/>
    <w:rsid w:val="00494F25"/>
    <w:rsid w:val="00494F62"/>
    <w:rsid w:val="004976F9"/>
    <w:rsid w:val="004A2001"/>
    <w:rsid w:val="004A3590"/>
    <w:rsid w:val="004A4237"/>
    <w:rsid w:val="004A6DEC"/>
    <w:rsid w:val="004A6F91"/>
    <w:rsid w:val="004A7632"/>
    <w:rsid w:val="004B00A7"/>
    <w:rsid w:val="004B075D"/>
    <w:rsid w:val="004B1202"/>
    <w:rsid w:val="004B1D15"/>
    <w:rsid w:val="004B2269"/>
    <w:rsid w:val="004B25E2"/>
    <w:rsid w:val="004B2B0E"/>
    <w:rsid w:val="004B34D7"/>
    <w:rsid w:val="004B3A25"/>
    <w:rsid w:val="004B49E1"/>
    <w:rsid w:val="004B5037"/>
    <w:rsid w:val="004B5B2F"/>
    <w:rsid w:val="004B626A"/>
    <w:rsid w:val="004B660E"/>
    <w:rsid w:val="004C05BD"/>
    <w:rsid w:val="004C14C5"/>
    <w:rsid w:val="004C3B06"/>
    <w:rsid w:val="004C3F97"/>
    <w:rsid w:val="004C4F82"/>
    <w:rsid w:val="004C5C07"/>
    <w:rsid w:val="004C5FE6"/>
    <w:rsid w:val="004C7D88"/>
    <w:rsid w:val="004C7EE7"/>
    <w:rsid w:val="004D0A8A"/>
    <w:rsid w:val="004D0B5C"/>
    <w:rsid w:val="004D1D6F"/>
    <w:rsid w:val="004D2DEE"/>
    <w:rsid w:val="004D2E1F"/>
    <w:rsid w:val="004D3E1A"/>
    <w:rsid w:val="004D7131"/>
    <w:rsid w:val="004D7E83"/>
    <w:rsid w:val="004D7FD9"/>
    <w:rsid w:val="004E0605"/>
    <w:rsid w:val="004E1324"/>
    <w:rsid w:val="004E19A5"/>
    <w:rsid w:val="004E25EB"/>
    <w:rsid w:val="004E37E5"/>
    <w:rsid w:val="004E3FDB"/>
    <w:rsid w:val="004F1F4A"/>
    <w:rsid w:val="004F296D"/>
    <w:rsid w:val="004F508B"/>
    <w:rsid w:val="004F5382"/>
    <w:rsid w:val="004F695F"/>
    <w:rsid w:val="004F6CA4"/>
    <w:rsid w:val="00500752"/>
    <w:rsid w:val="00501443"/>
    <w:rsid w:val="00501A50"/>
    <w:rsid w:val="0050222D"/>
    <w:rsid w:val="00503377"/>
    <w:rsid w:val="00503AF3"/>
    <w:rsid w:val="0050696D"/>
    <w:rsid w:val="0051094B"/>
    <w:rsid w:val="005110D7"/>
    <w:rsid w:val="00511D99"/>
    <w:rsid w:val="00512184"/>
    <w:rsid w:val="005128D3"/>
    <w:rsid w:val="005147E8"/>
    <w:rsid w:val="005158F2"/>
    <w:rsid w:val="00517801"/>
    <w:rsid w:val="00517D29"/>
    <w:rsid w:val="00523003"/>
    <w:rsid w:val="00523F3A"/>
    <w:rsid w:val="00524C54"/>
    <w:rsid w:val="00524F20"/>
    <w:rsid w:val="0052580D"/>
    <w:rsid w:val="00526DFC"/>
    <w:rsid w:val="00526F43"/>
    <w:rsid w:val="00527651"/>
    <w:rsid w:val="00531C3F"/>
    <w:rsid w:val="00532EA0"/>
    <w:rsid w:val="00535491"/>
    <w:rsid w:val="005363AB"/>
    <w:rsid w:val="0054070B"/>
    <w:rsid w:val="00540F6F"/>
    <w:rsid w:val="0054324B"/>
    <w:rsid w:val="00543CAA"/>
    <w:rsid w:val="00544542"/>
    <w:rsid w:val="00544EF4"/>
    <w:rsid w:val="00545C2F"/>
    <w:rsid w:val="00545C4B"/>
    <w:rsid w:val="00545E53"/>
    <w:rsid w:val="005479D9"/>
    <w:rsid w:val="0055153B"/>
    <w:rsid w:val="005515F5"/>
    <w:rsid w:val="00551BD8"/>
    <w:rsid w:val="00551E08"/>
    <w:rsid w:val="0055371D"/>
    <w:rsid w:val="005539CC"/>
    <w:rsid w:val="005554A6"/>
    <w:rsid w:val="005563C8"/>
    <w:rsid w:val="005572BD"/>
    <w:rsid w:val="00557A12"/>
    <w:rsid w:val="00560AC7"/>
    <w:rsid w:val="00561AFB"/>
    <w:rsid w:val="00561FA8"/>
    <w:rsid w:val="005629DF"/>
    <w:rsid w:val="00562E0E"/>
    <w:rsid w:val="005635ED"/>
    <w:rsid w:val="00565180"/>
    <w:rsid w:val="00565253"/>
    <w:rsid w:val="00570037"/>
    <w:rsid w:val="00570191"/>
    <w:rsid w:val="00570570"/>
    <w:rsid w:val="00570ADB"/>
    <w:rsid w:val="00572512"/>
    <w:rsid w:val="0057292C"/>
    <w:rsid w:val="00573EE6"/>
    <w:rsid w:val="0057547F"/>
    <w:rsid w:val="005754C4"/>
    <w:rsid w:val="005754EE"/>
    <w:rsid w:val="00575979"/>
    <w:rsid w:val="00575DE5"/>
    <w:rsid w:val="0057617E"/>
    <w:rsid w:val="00576497"/>
    <w:rsid w:val="00581EAE"/>
    <w:rsid w:val="005835E7"/>
    <w:rsid w:val="0058397F"/>
    <w:rsid w:val="00583BF8"/>
    <w:rsid w:val="00585F33"/>
    <w:rsid w:val="00590CBD"/>
    <w:rsid w:val="00591124"/>
    <w:rsid w:val="005944CB"/>
    <w:rsid w:val="00597024"/>
    <w:rsid w:val="00597318"/>
    <w:rsid w:val="00597D60"/>
    <w:rsid w:val="005A0274"/>
    <w:rsid w:val="005A0312"/>
    <w:rsid w:val="005A0714"/>
    <w:rsid w:val="005A095C"/>
    <w:rsid w:val="005A35E9"/>
    <w:rsid w:val="005A3813"/>
    <w:rsid w:val="005A4812"/>
    <w:rsid w:val="005A669D"/>
    <w:rsid w:val="005A75D8"/>
    <w:rsid w:val="005B033C"/>
    <w:rsid w:val="005B1A8F"/>
    <w:rsid w:val="005B4F1B"/>
    <w:rsid w:val="005B5F34"/>
    <w:rsid w:val="005B653A"/>
    <w:rsid w:val="005B713E"/>
    <w:rsid w:val="005B796C"/>
    <w:rsid w:val="005C03B6"/>
    <w:rsid w:val="005C29EB"/>
    <w:rsid w:val="005C348E"/>
    <w:rsid w:val="005C3992"/>
    <w:rsid w:val="005C6117"/>
    <w:rsid w:val="005C68E1"/>
    <w:rsid w:val="005D0C6E"/>
    <w:rsid w:val="005D3763"/>
    <w:rsid w:val="005D3A3D"/>
    <w:rsid w:val="005D55E1"/>
    <w:rsid w:val="005E0E7C"/>
    <w:rsid w:val="005E19F7"/>
    <w:rsid w:val="005E208E"/>
    <w:rsid w:val="005E26EA"/>
    <w:rsid w:val="005E430D"/>
    <w:rsid w:val="005E4F04"/>
    <w:rsid w:val="005E62C2"/>
    <w:rsid w:val="005E6C71"/>
    <w:rsid w:val="005F0963"/>
    <w:rsid w:val="005F2824"/>
    <w:rsid w:val="005F2EBA"/>
    <w:rsid w:val="005F2F1C"/>
    <w:rsid w:val="005F35ED"/>
    <w:rsid w:val="005F43FA"/>
    <w:rsid w:val="005F44DE"/>
    <w:rsid w:val="005F773D"/>
    <w:rsid w:val="005F7812"/>
    <w:rsid w:val="005F7960"/>
    <w:rsid w:val="005F7A88"/>
    <w:rsid w:val="00601B59"/>
    <w:rsid w:val="00603A1A"/>
    <w:rsid w:val="0060435B"/>
    <w:rsid w:val="006046D5"/>
    <w:rsid w:val="006067A7"/>
    <w:rsid w:val="00606CB5"/>
    <w:rsid w:val="00607A93"/>
    <w:rsid w:val="00610C08"/>
    <w:rsid w:val="00611F74"/>
    <w:rsid w:val="00614AD1"/>
    <w:rsid w:val="00615772"/>
    <w:rsid w:val="00615884"/>
    <w:rsid w:val="00616D1A"/>
    <w:rsid w:val="00617639"/>
    <w:rsid w:val="00617865"/>
    <w:rsid w:val="00621256"/>
    <w:rsid w:val="00621FCC"/>
    <w:rsid w:val="00622E4B"/>
    <w:rsid w:val="00625F8C"/>
    <w:rsid w:val="00632F75"/>
    <w:rsid w:val="006333DA"/>
    <w:rsid w:val="00635134"/>
    <w:rsid w:val="006354E1"/>
    <w:rsid w:val="006356E2"/>
    <w:rsid w:val="0063587F"/>
    <w:rsid w:val="00636355"/>
    <w:rsid w:val="00636859"/>
    <w:rsid w:val="006376E2"/>
    <w:rsid w:val="00641A5C"/>
    <w:rsid w:val="00641D13"/>
    <w:rsid w:val="00642A65"/>
    <w:rsid w:val="0064488E"/>
    <w:rsid w:val="00645955"/>
    <w:rsid w:val="00645DCE"/>
    <w:rsid w:val="0064615D"/>
    <w:rsid w:val="00646513"/>
    <w:rsid w:val="006465AC"/>
    <w:rsid w:val="006465BF"/>
    <w:rsid w:val="00650826"/>
    <w:rsid w:val="0065109D"/>
    <w:rsid w:val="00653B22"/>
    <w:rsid w:val="006543D8"/>
    <w:rsid w:val="00657BF4"/>
    <w:rsid w:val="006603FB"/>
    <w:rsid w:val="006608DF"/>
    <w:rsid w:val="00661FA9"/>
    <w:rsid w:val="006623AC"/>
    <w:rsid w:val="00664FBA"/>
    <w:rsid w:val="006651D3"/>
    <w:rsid w:val="006675FB"/>
    <w:rsid w:val="006678AF"/>
    <w:rsid w:val="006701EF"/>
    <w:rsid w:val="00670F80"/>
    <w:rsid w:val="0067354F"/>
    <w:rsid w:val="00673BA5"/>
    <w:rsid w:val="00674921"/>
    <w:rsid w:val="00674D1E"/>
    <w:rsid w:val="0067591D"/>
    <w:rsid w:val="0067739E"/>
    <w:rsid w:val="00680058"/>
    <w:rsid w:val="0068141C"/>
    <w:rsid w:val="00681F9F"/>
    <w:rsid w:val="006824C4"/>
    <w:rsid w:val="006837B0"/>
    <w:rsid w:val="006840EA"/>
    <w:rsid w:val="006844E2"/>
    <w:rsid w:val="00685267"/>
    <w:rsid w:val="006855B8"/>
    <w:rsid w:val="00685AC1"/>
    <w:rsid w:val="006872AE"/>
    <w:rsid w:val="00690082"/>
    <w:rsid w:val="00690252"/>
    <w:rsid w:val="006942B1"/>
    <w:rsid w:val="006942BF"/>
    <w:rsid w:val="00694553"/>
    <w:rsid w:val="006946BB"/>
    <w:rsid w:val="0069567A"/>
    <w:rsid w:val="0069640F"/>
    <w:rsid w:val="006969FA"/>
    <w:rsid w:val="00696B39"/>
    <w:rsid w:val="00696E8F"/>
    <w:rsid w:val="006A0B93"/>
    <w:rsid w:val="006A0EA5"/>
    <w:rsid w:val="006A192D"/>
    <w:rsid w:val="006A35D5"/>
    <w:rsid w:val="006A5FA2"/>
    <w:rsid w:val="006A6503"/>
    <w:rsid w:val="006A6954"/>
    <w:rsid w:val="006A748A"/>
    <w:rsid w:val="006B1E66"/>
    <w:rsid w:val="006B30B3"/>
    <w:rsid w:val="006C3FA4"/>
    <w:rsid w:val="006C419E"/>
    <w:rsid w:val="006C4A31"/>
    <w:rsid w:val="006C5504"/>
    <w:rsid w:val="006C5AC2"/>
    <w:rsid w:val="006C65AA"/>
    <w:rsid w:val="006C6637"/>
    <w:rsid w:val="006C6AFB"/>
    <w:rsid w:val="006D2735"/>
    <w:rsid w:val="006D2B6E"/>
    <w:rsid w:val="006D372F"/>
    <w:rsid w:val="006D3E2C"/>
    <w:rsid w:val="006D4351"/>
    <w:rsid w:val="006D45B2"/>
    <w:rsid w:val="006D597A"/>
    <w:rsid w:val="006D663D"/>
    <w:rsid w:val="006D6B93"/>
    <w:rsid w:val="006D74F3"/>
    <w:rsid w:val="006E0FCC"/>
    <w:rsid w:val="006E1200"/>
    <w:rsid w:val="006E1E96"/>
    <w:rsid w:val="006E2917"/>
    <w:rsid w:val="006E41C1"/>
    <w:rsid w:val="006E4C37"/>
    <w:rsid w:val="006E5422"/>
    <w:rsid w:val="006E5CCB"/>
    <w:rsid w:val="006E5E21"/>
    <w:rsid w:val="006F0C71"/>
    <w:rsid w:val="006F1053"/>
    <w:rsid w:val="006F184E"/>
    <w:rsid w:val="006F2648"/>
    <w:rsid w:val="006F2F10"/>
    <w:rsid w:val="006F31C9"/>
    <w:rsid w:val="006F379A"/>
    <w:rsid w:val="006F482B"/>
    <w:rsid w:val="006F51D1"/>
    <w:rsid w:val="006F5DB8"/>
    <w:rsid w:val="006F6311"/>
    <w:rsid w:val="00700A10"/>
    <w:rsid w:val="00700E71"/>
    <w:rsid w:val="00700EE9"/>
    <w:rsid w:val="00701952"/>
    <w:rsid w:val="00702556"/>
    <w:rsid w:val="0070277E"/>
    <w:rsid w:val="00703C00"/>
    <w:rsid w:val="00703E3B"/>
    <w:rsid w:val="00704156"/>
    <w:rsid w:val="007051DF"/>
    <w:rsid w:val="00706193"/>
    <w:rsid w:val="00706324"/>
    <w:rsid w:val="007069FC"/>
    <w:rsid w:val="007070B0"/>
    <w:rsid w:val="00707FA5"/>
    <w:rsid w:val="00711221"/>
    <w:rsid w:val="00711739"/>
    <w:rsid w:val="00711BDA"/>
    <w:rsid w:val="00711FD1"/>
    <w:rsid w:val="00712675"/>
    <w:rsid w:val="00712F30"/>
    <w:rsid w:val="00713808"/>
    <w:rsid w:val="00714825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46C5"/>
    <w:rsid w:val="00725406"/>
    <w:rsid w:val="0072621B"/>
    <w:rsid w:val="00730555"/>
    <w:rsid w:val="00730BA5"/>
    <w:rsid w:val="007312CC"/>
    <w:rsid w:val="00731D3F"/>
    <w:rsid w:val="007335C9"/>
    <w:rsid w:val="00733816"/>
    <w:rsid w:val="0073466C"/>
    <w:rsid w:val="0073658B"/>
    <w:rsid w:val="00736A64"/>
    <w:rsid w:val="00737F6A"/>
    <w:rsid w:val="00740406"/>
    <w:rsid w:val="007410B6"/>
    <w:rsid w:val="00741ECA"/>
    <w:rsid w:val="00742FB9"/>
    <w:rsid w:val="00743762"/>
    <w:rsid w:val="00744C6F"/>
    <w:rsid w:val="007457F6"/>
    <w:rsid w:val="00745ABB"/>
    <w:rsid w:val="00745F99"/>
    <w:rsid w:val="00746A96"/>
    <w:rsid w:val="00746E38"/>
    <w:rsid w:val="00747CD5"/>
    <w:rsid w:val="0075215B"/>
    <w:rsid w:val="00752F8A"/>
    <w:rsid w:val="00752F9B"/>
    <w:rsid w:val="00753B51"/>
    <w:rsid w:val="00754782"/>
    <w:rsid w:val="00755D82"/>
    <w:rsid w:val="00756629"/>
    <w:rsid w:val="007575D2"/>
    <w:rsid w:val="00757B4F"/>
    <w:rsid w:val="00757B6A"/>
    <w:rsid w:val="00760019"/>
    <w:rsid w:val="007610E0"/>
    <w:rsid w:val="007621AA"/>
    <w:rsid w:val="007625DB"/>
    <w:rsid w:val="0076260A"/>
    <w:rsid w:val="00763AE1"/>
    <w:rsid w:val="00764A67"/>
    <w:rsid w:val="00765514"/>
    <w:rsid w:val="00765CBD"/>
    <w:rsid w:val="0076601E"/>
    <w:rsid w:val="00766516"/>
    <w:rsid w:val="00767804"/>
    <w:rsid w:val="00770CE3"/>
    <w:rsid w:val="00770F6B"/>
    <w:rsid w:val="00771883"/>
    <w:rsid w:val="0077359D"/>
    <w:rsid w:val="00773D4B"/>
    <w:rsid w:val="00776DC2"/>
    <w:rsid w:val="00777B44"/>
    <w:rsid w:val="00780122"/>
    <w:rsid w:val="0078214B"/>
    <w:rsid w:val="00783A85"/>
    <w:rsid w:val="0078498A"/>
    <w:rsid w:val="007860AB"/>
    <w:rsid w:val="00786DDA"/>
    <w:rsid w:val="007878FE"/>
    <w:rsid w:val="00787C01"/>
    <w:rsid w:val="00791023"/>
    <w:rsid w:val="007913FF"/>
    <w:rsid w:val="00791E5C"/>
    <w:rsid w:val="00792207"/>
    <w:rsid w:val="007925F9"/>
    <w:rsid w:val="007929DA"/>
    <w:rsid w:val="00792B64"/>
    <w:rsid w:val="00792E29"/>
    <w:rsid w:val="0079379A"/>
    <w:rsid w:val="00794953"/>
    <w:rsid w:val="007958D9"/>
    <w:rsid w:val="0079598C"/>
    <w:rsid w:val="0079726C"/>
    <w:rsid w:val="007A1F2F"/>
    <w:rsid w:val="007A2A5C"/>
    <w:rsid w:val="007A30C1"/>
    <w:rsid w:val="007A4970"/>
    <w:rsid w:val="007A4B53"/>
    <w:rsid w:val="007A5048"/>
    <w:rsid w:val="007A5150"/>
    <w:rsid w:val="007A5373"/>
    <w:rsid w:val="007A5D1B"/>
    <w:rsid w:val="007A7698"/>
    <w:rsid w:val="007A789F"/>
    <w:rsid w:val="007B2FC8"/>
    <w:rsid w:val="007B5B86"/>
    <w:rsid w:val="007B61F1"/>
    <w:rsid w:val="007B75BC"/>
    <w:rsid w:val="007B7966"/>
    <w:rsid w:val="007B7CED"/>
    <w:rsid w:val="007C0BD6"/>
    <w:rsid w:val="007C1FFA"/>
    <w:rsid w:val="007C2776"/>
    <w:rsid w:val="007C3806"/>
    <w:rsid w:val="007C5B11"/>
    <w:rsid w:val="007C5BB7"/>
    <w:rsid w:val="007C64C8"/>
    <w:rsid w:val="007D047A"/>
    <w:rsid w:val="007D07D5"/>
    <w:rsid w:val="007D1C64"/>
    <w:rsid w:val="007D2365"/>
    <w:rsid w:val="007D32DD"/>
    <w:rsid w:val="007D47BF"/>
    <w:rsid w:val="007D6990"/>
    <w:rsid w:val="007D6DCE"/>
    <w:rsid w:val="007D72C4"/>
    <w:rsid w:val="007E06A3"/>
    <w:rsid w:val="007E15F8"/>
    <w:rsid w:val="007E2CB6"/>
    <w:rsid w:val="007E2CFE"/>
    <w:rsid w:val="007E2E2C"/>
    <w:rsid w:val="007E47FB"/>
    <w:rsid w:val="007E4A3A"/>
    <w:rsid w:val="007E59C9"/>
    <w:rsid w:val="007E5F2D"/>
    <w:rsid w:val="007F0072"/>
    <w:rsid w:val="007F137B"/>
    <w:rsid w:val="007F148E"/>
    <w:rsid w:val="007F1694"/>
    <w:rsid w:val="007F1C85"/>
    <w:rsid w:val="007F2EB6"/>
    <w:rsid w:val="007F3611"/>
    <w:rsid w:val="007F3831"/>
    <w:rsid w:val="007F3F1D"/>
    <w:rsid w:val="007F54C3"/>
    <w:rsid w:val="007F6FA2"/>
    <w:rsid w:val="00802949"/>
    <w:rsid w:val="0080301E"/>
    <w:rsid w:val="0080365F"/>
    <w:rsid w:val="0080418E"/>
    <w:rsid w:val="00805989"/>
    <w:rsid w:val="00806997"/>
    <w:rsid w:val="008069EB"/>
    <w:rsid w:val="00806B3B"/>
    <w:rsid w:val="00812BE5"/>
    <w:rsid w:val="00813EBC"/>
    <w:rsid w:val="00814EF7"/>
    <w:rsid w:val="00815EB4"/>
    <w:rsid w:val="00817429"/>
    <w:rsid w:val="008174F1"/>
    <w:rsid w:val="00821514"/>
    <w:rsid w:val="00821E35"/>
    <w:rsid w:val="00822EAB"/>
    <w:rsid w:val="008244A1"/>
    <w:rsid w:val="00824591"/>
    <w:rsid w:val="00824AED"/>
    <w:rsid w:val="00825EB1"/>
    <w:rsid w:val="00826352"/>
    <w:rsid w:val="00826D2C"/>
    <w:rsid w:val="00826F05"/>
    <w:rsid w:val="0082749B"/>
    <w:rsid w:val="00827820"/>
    <w:rsid w:val="00831B8B"/>
    <w:rsid w:val="0083405D"/>
    <w:rsid w:val="008352D4"/>
    <w:rsid w:val="00835475"/>
    <w:rsid w:val="00836DB9"/>
    <w:rsid w:val="00837510"/>
    <w:rsid w:val="00837C67"/>
    <w:rsid w:val="008415B0"/>
    <w:rsid w:val="008417C0"/>
    <w:rsid w:val="00842028"/>
    <w:rsid w:val="008436B8"/>
    <w:rsid w:val="00843F8D"/>
    <w:rsid w:val="008450C8"/>
    <w:rsid w:val="00845505"/>
    <w:rsid w:val="00845BD9"/>
    <w:rsid w:val="008460B6"/>
    <w:rsid w:val="00846140"/>
    <w:rsid w:val="008478C3"/>
    <w:rsid w:val="00850C9D"/>
    <w:rsid w:val="00852B59"/>
    <w:rsid w:val="00852F77"/>
    <w:rsid w:val="00854155"/>
    <w:rsid w:val="00855AFB"/>
    <w:rsid w:val="00855D4B"/>
    <w:rsid w:val="00856272"/>
    <w:rsid w:val="008562FE"/>
    <w:rsid w:val="008563FF"/>
    <w:rsid w:val="00857E5B"/>
    <w:rsid w:val="0086018B"/>
    <w:rsid w:val="008611DD"/>
    <w:rsid w:val="00861984"/>
    <w:rsid w:val="00861A80"/>
    <w:rsid w:val="008620DE"/>
    <w:rsid w:val="00863208"/>
    <w:rsid w:val="00863BCE"/>
    <w:rsid w:val="00864678"/>
    <w:rsid w:val="00865DB7"/>
    <w:rsid w:val="00866670"/>
    <w:rsid w:val="00866867"/>
    <w:rsid w:val="00866A05"/>
    <w:rsid w:val="008711F2"/>
    <w:rsid w:val="00871612"/>
    <w:rsid w:val="00871E17"/>
    <w:rsid w:val="00871EAB"/>
    <w:rsid w:val="00872257"/>
    <w:rsid w:val="00873504"/>
    <w:rsid w:val="00873E28"/>
    <w:rsid w:val="0087444B"/>
    <w:rsid w:val="008753E6"/>
    <w:rsid w:val="0087738C"/>
    <w:rsid w:val="008802AF"/>
    <w:rsid w:val="0088079D"/>
    <w:rsid w:val="0088097B"/>
    <w:rsid w:val="0088135E"/>
    <w:rsid w:val="00881926"/>
    <w:rsid w:val="00881B04"/>
    <w:rsid w:val="0088318F"/>
    <w:rsid w:val="0088331D"/>
    <w:rsid w:val="0088352E"/>
    <w:rsid w:val="008837EE"/>
    <w:rsid w:val="008852B0"/>
    <w:rsid w:val="00885696"/>
    <w:rsid w:val="00885AE7"/>
    <w:rsid w:val="0088665B"/>
    <w:rsid w:val="00886B60"/>
    <w:rsid w:val="00887889"/>
    <w:rsid w:val="00890F05"/>
    <w:rsid w:val="008920FF"/>
    <w:rsid w:val="008926E8"/>
    <w:rsid w:val="00893B11"/>
    <w:rsid w:val="00894F19"/>
    <w:rsid w:val="00895134"/>
    <w:rsid w:val="008968A3"/>
    <w:rsid w:val="00896A10"/>
    <w:rsid w:val="008971B5"/>
    <w:rsid w:val="008973D2"/>
    <w:rsid w:val="00897F5E"/>
    <w:rsid w:val="008A1700"/>
    <w:rsid w:val="008A2602"/>
    <w:rsid w:val="008A2B53"/>
    <w:rsid w:val="008A448F"/>
    <w:rsid w:val="008A45BA"/>
    <w:rsid w:val="008A50CE"/>
    <w:rsid w:val="008A53A7"/>
    <w:rsid w:val="008A5581"/>
    <w:rsid w:val="008A5D26"/>
    <w:rsid w:val="008A6B13"/>
    <w:rsid w:val="008A6ECB"/>
    <w:rsid w:val="008A7B5F"/>
    <w:rsid w:val="008B078B"/>
    <w:rsid w:val="008B0BF9"/>
    <w:rsid w:val="008B1597"/>
    <w:rsid w:val="008B2734"/>
    <w:rsid w:val="008B2866"/>
    <w:rsid w:val="008B3859"/>
    <w:rsid w:val="008B436D"/>
    <w:rsid w:val="008B4E49"/>
    <w:rsid w:val="008B5516"/>
    <w:rsid w:val="008B64CE"/>
    <w:rsid w:val="008B7712"/>
    <w:rsid w:val="008B7B26"/>
    <w:rsid w:val="008C0E63"/>
    <w:rsid w:val="008C3524"/>
    <w:rsid w:val="008C4061"/>
    <w:rsid w:val="008C4229"/>
    <w:rsid w:val="008C5BE0"/>
    <w:rsid w:val="008C7233"/>
    <w:rsid w:val="008D0F0D"/>
    <w:rsid w:val="008D2434"/>
    <w:rsid w:val="008D2C95"/>
    <w:rsid w:val="008D368A"/>
    <w:rsid w:val="008E157F"/>
    <w:rsid w:val="008E171D"/>
    <w:rsid w:val="008E2700"/>
    <w:rsid w:val="008E2785"/>
    <w:rsid w:val="008E296A"/>
    <w:rsid w:val="008E3490"/>
    <w:rsid w:val="008E3716"/>
    <w:rsid w:val="008E504D"/>
    <w:rsid w:val="008E56CD"/>
    <w:rsid w:val="008E6C37"/>
    <w:rsid w:val="008E750F"/>
    <w:rsid w:val="008E78A3"/>
    <w:rsid w:val="008E7A60"/>
    <w:rsid w:val="008F04F9"/>
    <w:rsid w:val="008F05CB"/>
    <w:rsid w:val="008F0654"/>
    <w:rsid w:val="008F06CB"/>
    <w:rsid w:val="008F2250"/>
    <w:rsid w:val="008F2E83"/>
    <w:rsid w:val="008F3768"/>
    <w:rsid w:val="008F612A"/>
    <w:rsid w:val="008F638E"/>
    <w:rsid w:val="008F64B3"/>
    <w:rsid w:val="009014E5"/>
    <w:rsid w:val="009020F2"/>
    <w:rsid w:val="0090293D"/>
    <w:rsid w:val="009034DE"/>
    <w:rsid w:val="00905396"/>
    <w:rsid w:val="0090604C"/>
    <w:rsid w:val="0090605D"/>
    <w:rsid w:val="00906419"/>
    <w:rsid w:val="009066B6"/>
    <w:rsid w:val="00907B63"/>
    <w:rsid w:val="00911DEA"/>
    <w:rsid w:val="00912889"/>
    <w:rsid w:val="00912EB9"/>
    <w:rsid w:val="00913A42"/>
    <w:rsid w:val="00914167"/>
    <w:rsid w:val="009143DB"/>
    <w:rsid w:val="00915065"/>
    <w:rsid w:val="00917CE5"/>
    <w:rsid w:val="009217C0"/>
    <w:rsid w:val="009223B8"/>
    <w:rsid w:val="009225FD"/>
    <w:rsid w:val="009229E4"/>
    <w:rsid w:val="00925241"/>
    <w:rsid w:val="00925CEC"/>
    <w:rsid w:val="00925F2F"/>
    <w:rsid w:val="00926A3F"/>
    <w:rsid w:val="00927587"/>
    <w:rsid w:val="0092794E"/>
    <w:rsid w:val="00930D30"/>
    <w:rsid w:val="00930F71"/>
    <w:rsid w:val="00931CEB"/>
    <w:rsid w:val="0093211E"/>
    <w:rsid w:val="009332A2"/>
    <w:rsid w:val="009338B1"/>
    <w:rsid w:val="009345AF"/>
    <w:rsid w:val="00935265"/>
    <w:rsid w:val="009354BE"/>
    <w:rsid w:val="00937598"/>
    <w:rsid w:val="0093790B"/>
    <w:rsid w:val="00940B93"/>
    <w:rsid w:val="00941EE2"/>
    <w:rsid w:val="0094266F"/>
    <w:rsid w:val="009427B5"/>
    <w:rsid w:val="00942A93"/>
    <w:rsid w:val="00943751"/>
    <w:rsid w:val="009446F6"/>
    <w:rsid w:val="00944ADC"/>
    <w:rsid w:val="00945514"/>
    <w:rsid w:val="00945E71"/>
    <w:rsid w:val="00946DD0"/>
    <w:rsid w:val="009509E6"/>
    <w:rsid w:val="0095127B"/>
    <w:rsid w:val="009516B3"/>
    <w:rsid w:val="00951CC7"/>
    <w:rsid w:val="00952018"/>
    <w:rsid w:val="00952800"/>
    <w:rsid w:val="00952C9C"/>
    <w:rsid w:val="0095300D"/>
    <w:rsid w:val="00956812"/>
    <w:rsid w:val="00956FFA"/>
    <w:rsid w:val="0095719A"/>
    <w:rsid w:val="009576FE"/>
    <w:rsid w:val="00957B6E"/>
    <w:rsid w:val="0096059A"/>
    <w:rsid w:val="009623E9"/>
    <w:rsid w:val="00963EEB"/>
    <w:rsid w:val="009642F6"/>
    <w:rsid w:val="009648BC"/>
    <w:rsid w:val="00964C2F"/>
    <w:rsid w:val="00965F88"/>
    <w:rsid w:val="00972AAA"/>
    <w:rsid w:val="009760E4"/>
    <w:rsid w:val="009764AB"/>
    <w:rsid w:val="00980F1C"/>
    <w:rsid w:val="009824CE"/>
    <w:rsid w:val="009838E9"/>
    <w:rsid w:val="00983B9F"/>
    <w:rsid w:val="00984E03"/>
    <w:rsid w:val="00984F42"/>
    <w:rsid w:val="00987583"/>
    <w:rsid w:val="00987E85"/>
    <w:rsid w:val="009905FF"/>
    <w:rsid w:val="00993C47"/>
    <w:rsid w:val="00994B5C"/>
    <w:rsid w:val="00996199"/>
    <w:rsid w:val="009A0D12"/>
    <w:rsid w:val="009A1987"/>
    <w:rsid w:val="009A1E96"/>
    <w:rsid w:val="009A2BEE"/>
    <w:rsid w:val="009A2E23"/>
    <w:rsid w:val="009A363B"/>
    <w:rsid w:val="009A4D93"/>
    <w:rsid w:val="009A5289"/>
    <w:rsid w:val="009A6803"/>
    <w:rsid w:val="009A6CF8"/>
    <w:rsid w:val="009A702B"/>
    <w:rsid w:val="009A7A53"/>
    <w:rsid w:val="009B0402"/>
    <w:rsid w:val="009B0B75"/>
    <w:rsid w:val="009B10A2"/>
    <w:rsid w:val="009B16DF"/>
    <w:rsid w:val="009B2F89"/>
    <w:rsid w:val="009B4CB2"/>
    <w:rsid w:val="009B6179"/>
    <w:rsid w:val="009B6701"/>
    <w:rsid w:val="009B6EF7"/>
    <w:rsid w:val="009B7000"/>
    <w:rsid w:val="009B739C"/>
    <w:rsid w:val="009C04EC"/>
    <w:rsid w:val="009C1878"/>
    <w:rsid w:val="009C328C"/>
    <w:rsid w:val="009C4444"/>
    <w:rsid w:val="009C6126"/>
    <w:rsid w:val="009C6BC8"/>
    <w:rsid w:val="009C79AD"/>
    <w:rsid w:val="009C7CA6"/>
    <w:rsid w:val="009C7DA2"/>
    <w:rsid w:val="009D3316"/>
    <w:rsid w:val="009D55AA"/>
    <w:rsid w:val="009D5779"/>
    <w:rsid w:val="009E12A6"/>
    <w:rsid w:val="009E3E77"/>
    <w:rsid w:val="009E3FAB"/>
    <w:rsid w:val="009E45AA"/>
    <w:rsid w:val="009E5B3F"/>
    <w:rsid w:val="009E7D90"/>
    <w:rsid w:val="009F1AB0"/>
    <w:rsid w:val="009F2954"/>
    <w:rsid w:val="009F29F0"/>
    <w:rsid w:val="009F34C1"/>
    <w:rsid w:val="009F501D"/>
    <w:rsid w:val="009F700E"/>
    <w:rsid w:val="00A00A8B"/>
    <w:rsid w:val="00A02949"/>
    <w:rsid w:val="00A039D5"/>
    <w:rsid w:val="00A03D2B"/>
    <w:rsid w:val="00A040DB"/>
    <w:rsid w:val="00A04591"/>
    <w:rsid w:val="00A046AD"/>
    <w:rsid w:val="00A05EAC"/>
    <w:rsid w:val="00A079C1"/>
    <w:rsid w:val="00A1099C"/>
    <w:rsid w:val="00A11F2F"/>
    <w:rsid w:val="00A12520"/>
    <w:rsid w:val="00A12FD9"/>
    <w:rsid w:val="00A130FD"/>
    <w:rsid w:val="00A13D6D"/>
    <w:rsid w:val="00A14769"/>
    <w:rsid w:val="00A14B01"/>
    <w:rsid w:val="00A16151"/>
    <w:rsid w:val="00A16EC6"/>
    <w:rsid w:val="00A17757"/>
    <w:rsid w:val="00A17C06"/>
    <w:rsid w:val="00A17CF6"/>
    <w:rsid w:val="00A2126E"/>
    <w:rsid w:val="00A21706"/>
    <w:rsid w:val="00A23FD8"/>
    <w:rsid w:val="00A24FCC"/>
    <w:rsid w:val="00A26A90"/>
    <w:rsid w:val="00A26B27"/>
    <w:rsid w:val="00A2753F"/>
    <w:rsid w:val="00A2764F"/>
    <w:rsid w:val="00A30E4F"/>
    <w:rsid w:val="00A3199B"/>
    <w:rsid w:val="00A32253"/>
    <w:rsid w:val="00A32E80"/>
    <w:rsid w:val="00A32ECA"/>
    <w:rsid w:val="00A3310E"/>
    <w:rsid w:val="00A333A0"/>
    <w:rsid w:val="00A35620"/>
    <w:rsid w:val="00A35922"/>
    <w:rsid w:val="00A35F89"/>
    <w:rsid w:val="00A37E70"/>
    <w:rsid w:val="00A4030D"/>
    <w:rsid w:val="00A423B1"/>
    <w:rsid w:val="00A437E1"/>
    <w:rsid w:val="00A44F74"/>
    <w:rsid w:val="00A46306"/>
    <w:rsid w:val="00A4685E"/>
    <w:rsid w:val="00A50CD4"/>
    <w:rsid w:val="00A51191"/>
    <w:rsid w:val="00A5185D"/>
    <w:rsid w:val="00A53A8E"/>
    <w:rsid w:val="00A54F64"/>
    <w:rsid w:val="00A54F99"/>
    <w:rsid w:val="00A563F8"/>
    <w:rsid w:val="00A56D62"/>
    <w:rsid w:val="00A56F07"/>
    <w:rsid w:val="00A5762C"/>
    <w:rsid w:val="00A57C17"/>
    <w:rsid w:val="00A600FC"/>
    <w:rsid w:val="00A60BCA"/>
    <w:rsid w:val="00A61B06"/>
    <w:rsid w:val="00A6250E"/>
    <w:rsid w:val="00A632EA"/>
    <w:rsid w:val="00A638DA"/>
    <w:rsid w:val="00A65B41"/>
    <w:rsid w:val="00A65E00"/>
    <w:rsid w:val="00A66A78"/>
    <w:rsid w:val="00A67E7A"/>
    <w:rsid w:val="00A71110"/>
    <w:rsid w:val="00A7349B"/>
    <w:rsid w:val="00A739B2"/>
    <w:rsid w:val="00A7436E"/>
    <w:rsid w:val="00A74E96"/>
    <w:rsid w:val="00A750F0"/>
    <w:rsid w:val="00A7561D"/>
    <w:rsid w:val="00A75A8E"/>
    <w:rsid w:val="00A7732B"/>
    <w:rsid w:val="00A824DD"/>
    <w:rsid w:val="00A83676"/>
    <w:rsid w:val="00A83B7B"/>
    <w:rsid w:val="00A84274"/>
    <w:rsid w:val="00A850F3"/>
    <w:rsid w:val="00A851DC"/>
    <w:rsid w:val="00A85A9F"/>
    <w:rsid w:val="00A864E3"/>
    <w:rsid w:val="00A86880"/>
    <w:rsid w:val="00A87B3A"/>
    <w:rsid w:val="00A92FAC"/>
    <w:rsid w:val="00A94574"/>
    <w:rsid w:val="00A95936"/>
    <w:rsid w:val="00A96265"/>
    <w:rsid w:val="00A963C2"/>
    <w:rsid w:val="00A9659A"/>
    <w:rsid w:val="00A967FA"/>
    <w:rsid w:val="00A97084"/>
    <w:rsid w:val="00A97BBB"/>
    <w:rsid w:val="00AA1A8E"/>
    <w:rsid w:val="00AA1C2C"/>
    <w:rsid w:val="00AA272E"/>
    <w:rsid w:val="00AA2AA2"/>
    <w:rsid w:val="00AA2CE3"/>
    <w:rsid w:val="00AA35F6"/>
    <w:rsid w:val="00AA5805"/>
    <w:rsid w:val="00AA665E"/>
    <w:rsid w:val="00AA667C"/>
    <w:rsid w:val="00AA6978"/>
    <w:rsid w:val="00AA6E91"/>
    <w:rsid w:val="00AA7439"/>
    <w:rsid w:val="00AB047E"/>
    <w:rsid w:val="00AB0B0A"/>
    <w:rsid w:val="00AB0BB7"/>
    <w:rsid w:val="00AB1111"/>
    <w:rsid w:val="00AB18C4"/>
    <w:rsid w:val="00AB22C6"/>
    <w:rsid w:val="00AB2AD0"/>
    <w:rsid w:val="00AB49DF"/>
    <w:rsid w:val="00AB660C"/>
    <w:rsid w:val="00AB67FC"/>
    <w:rsid w:val="00AB7CAA"/>
    <w:rsid w:val="00AC00F2"/>
    <w:rsid w:val="00AC0B1E"/>
    <w:rsid w:val="00AC13F5"/>
    <w:rsid w:val="00AC216E"/>
    <w:rsid w:val="00AC313C"/>
    <w:rsid w:val="00AC31B5"/>
    <w:rsid w:val="00AC4EA1"/>
    <w:rsid w:val="00AC5381"/>
    <w:rsid w:val="00AC5431"/>
    <w:rsid w:val="00AC5920"/>
    <w:rsid w:val="00AD0899"/>
    <w:rsid w:val="00AD0E65"/>
    <w:rsid w:val="00AD2BF2"/>
    <w:rsid w:val="00AD4E90"/>
    <w:rsid w:val="00AD5422"/>
    <w:rsid w:val="00AE01BB"/>
    <w:rsid w:val="00AE4179"/>
    <w:rsid w:val="00AE4425"/>
    <w:rsid w:val="00AE4FBE"/>
    <w:rsid w:val="00AE5154"/>
    <w:rsid w:val="00AE650F"/>
    <w:rsid w:val="00AE6555"/>
    <w:rsid w:val="00AE7A15"/>
    <w:rsid w:val="00AE7D16"/>
    <w:rsid w:val="00AE7F46"/>
    <w:rsid w:val="00AF4CAA"/>
    <w:rsid w:val="00AF571A"/>
    <w:rsid w:val="00AF5B41"/>
    <w:rsid w:val="00AF60A0"/>
    <w:rsid w:val="00AF61BD"/>
    <w:rsid w:val="00AF67FC"/>
    <w:rsid w:val="00AF7938"/>
    <w:rsid w:val="00AF7DF5"/>
    <w:rsid w:val="00B00130"/>
    <w:rsid w:val="00B006E5"/>
    <w:rsid w:val="00B0073E"/>
    <w:rsid w:val="00B024C2"/>
    <w:rsid w:val="00B0397F"/>
    <w:rsid w:val="00B07700"/>
    <w:rsid w:val="00B10567"/>
    <w:rsid w:val="00B11889"/>
    <w:rsid w:val="00B13921"/>
    <w:rsid w:val="00B1528C"/>
    <w:rsid w:val="00B16ACD"/>
    <w:rsid w:val="00B20DC9"/>
    <w:rsid w:val="00B21487"/>
    <w:rsid w:val="00B2181E"/>
    <w:rsid w:val="00B232D1"/>
    <w:rsid w:val="00B2339E"/>
    <w:rsid w:val="00B23626"/>
    <w:rsid w:val="00B23A1A"/>
    <w:rsid w:val="00B2463A"/>
    <w:rsid w:val="00B24DB5"/>
    <w:rsid w:val="00B2523F"/>
    <w:rsid w:val="00B255C1"/>
    <w:rsid w:val="00B27297"/>
    <w:rsid w:val="00B306BF"/>
    <w:rsid w:val="00B31F9E"/>
    <w:rsid w:val="00B3268F"/>
    <w:rsid w:val="00B32C2C"/>
    <w:rsid w:val="00B33A1A"/>
    <w:rsid w:val="00B33E6C"/>
    <w:rsid w:val="00B3600E"/>
    <w:rsid w:val="00B371CC"/>
    <w:rsid w:val="00B37DBE"/>
    <w:rsid w:val="00B37EDE"/>
    <w:rsid w:val="00B41CD9"/>
    <w:rsid w:val="00B427E6"/>
    <w:rsid w:val="00B428A6"/>
    <w:rsid w:val="00B435DC"/>
    <w:rsid w:val="00B43E1F"/>
    <w:rsid w:val="00B45FBC"/>
    <w:rsid w:val="00B50A50"/>
    <w:rsid w:val="00B50D04"/>
    <w:rsid w:val="00B51A7D"/>
    <w:rsid w:val="00B535C2"/>
    <w:rsid w:val="00B55544"/>
    <w:rsid w:val="00B562C5"/>
    <w:rsid w:val="00B6105A"/>
    <w:rsid w:val="00B642FC"/>
    <w:rsid w:val="00B6438B"/>
    <w:rsid w:val="00B64D26"/>
    <w:rsid w:val="00B64FBB"/>
    <w:rsid w:val="00B672F0"/>
    <w:rsid w:val="00B67544"/>
    <w:rsid w:val="00B707AA"/>
    <w:rsid w:val="00B70E22"/>
    <w:rsid w:val="00B71006"/>
    <w:rsid w:val="00B73682"/>
    <w:rsid w:val="00B73FE3"/>
    <w:rsid w:val="00B74ED7"/>
    <w:rsid w:val="00B75297"/>
    <w:rsid w:val="00B75A39"/>
    <w:rsid w:val="00B75E44"/>
    <w:rsid w:val="00B7660D"/>
    <w:rsid w:val="00B76A44"/>
    <w:rsid w:val="00B774CB"/>
    <w:rsid w:val="00B80402"/>
    <w:rsid w:val="00B80B9A"/>
    <w:rsid w:val="00B830B7"/>
    <w:rsid w:val="00B83BAA"/>
    <w:rsid w:val="00B83E62"/>
    <w:rsid w:val="00B841E7"/>
    <w:rsid w:val="00B848EA"/>
    <w:rsid w:val="00B84B2B"/>
    <w:rsid w:val="00B85371"/>
    <w:rsid w:val="00B85A3D"/>
    <w:rsid w:val="00B87122"/>
    <w:rsid w:val="00B90500"/>
    <w:rsid w:val="00B9158A"/>
    <w:rsid w:val="00B9176C"/>
    <w:rsid w:val="00B935A4"/>
    <w:rsid w:val="00B93B8D"/>
    <w:rsid w:val="00B93E36"/>
    <w:rsid w:val="00B95377"/>
    <w:rsid w:val="00B956E7"/>
    <w:rsid w:val="00BA044C"/>
    <w:rsid w:val="00BA152B"/>
    <w:rsid w:val="00BA44E7"/>
    <w:rsid w:val="00BA561A"/>
    <w:rsid w:val="00BA652A"/>
    <w:rsid w:val="00BB0DC6"/>
    <w:rsid w:val="00BB15E4"/>
    <w:rsid w:val="00BB17FE"/>
    <w:rsid w:val="00BB1E19"/>
    <w:rsid w:val="00BB21D1"/>
    <w:rsid w:val="00BB2476"/>
    <w:rsid w:val="00BB32A5"/>
    <w:rsid w:val="00BB32F2"/>
    <w:rsid w:val="00BB4338"/>
    <w:rsid w:val="00BB6380"/>
    <w:rsid w:val="00BB653D"/>
    <w:rsid w:val="00BB6C0E"/>
    <w:rsid w:val="00BB7B38"/>
    <w:rsid w:val="00BC11E5"/>
    <w:rsid w:val="00BC417B"/>
    <w:rsid w:val="00BC43B0"/>
    <w:rsid w:val="00BC4A36"/>
    <w:rsid w:val="00BC4BC6"/>
    <w:rsid w:val="00BC5237"/>
    <w:rsid w:val="00BC52FD"/>
    <w:rsid w:val="00BC639B"/>
    <w:rsid w:val="00BC6E62"/>
    <w:rsid w:val="00BC7443"/>
    <w:rsid w:val="00BC7589"/>
    <w:rsid w:val="00BD0648"/>
    <w:rsid w:val="00BD1040"/>
    <w:rsid w:val="00BD34AA"/>
    <w:rsid w:val="00BD5FAF"/>
    <w:rsid w:val="00BD604F"/>
    <w:rsid w:val="00BE0C44"/>
    <w:rsid w:val="00BE12C7"/>
    <w:rsid w:val="00BE1AAD"/>
    <w:rsid w:val="00BE1B8B"/>
    <w:rsid w:val="00BE21DB"/>
    <w:rsid w:val="00BE2A18"/>
    <w:rsid w:val="00BE2C01"/>
    <w:rsid w:val="00BE2DCA"/>
    <w:rsid w:val="00BE308C"/>
    <w:rsid w:val="00BE41EC"/>
    <w:rsid w:val="00BE47E5"/>
    <w:rsid w:val="00BE56FB"/>
    <w:rsid w:val="00BF3DDE"/>
    <w:rsid w:val="00BF4C0A"/>
    <w:rsid w:val="00BF6589"/>
    <w:rsid w:val="00BF6F7F"/>
    <w:rsid w:val="00C00487"/>
    <w:rsid w:val="00C00647"/>
    <w:rsid w:val="00C01EE5"/>
    <w:rsid w:val="00C02764"/>
    <w:rsid w:val="00C02844"/>
    <w:rsid w:val="00C03316"/>
    <w:rsid w:val="00C04745"/>
    <w:rsid w:val="00C04A59"/>
    <w:rsid w:val="00C04CEF"/>
    <w:rsid w:val="00C0662F"/>
    <w:rsid w:val="00C10017"/>
    <w:rsid w:val="00C10A85"/>
    <w:rsid w:val="00C11943"/>
    <w:rsid w:val="00C11ADB"/>
    <w:rsid w:val="00C1247D"/>
    <w:rsid w:val="00C12E96"/>
    <w:rsid w:val="00C135A4"/>
    <w:rsid w:val="00C13BB1"/>
    <w:rsid w:val="00C14763"/>
    <w:rsid w:val="00C16141"/>
    <w:rsid w:val="00C1616D"/>
    <w:rsid w:val="00C17FEF"/>
    <w:rsid w:val="00C227B2"/>
    <w:rsid w:val="00C23076"/>
    <w:rsid w:val="00C230A6"/>
    <w:rsid w:val="00C2363F"/>
    <w:rsid w:val="00C236C8"/>
    <w:rsid w:val="00C260B1"/>
    <w:rsid w:val="00C26E56"/>
    <w:rsid w:val="00C27BCF"/>
    <w:rsid w:val="00C31406"/>
    <w:rsid w:val="00C33391"/>
    <w:rsid w:val="00C33475"/>
    <w:rsid w:val="00C337F4"/>
    <w:rsid w:val="00C37194"/>
    <w:rsid w:val="00C403F4"/>
    <w:rsid w:val="00C40637"/>
    <w:rsid w:val="00C40F6C"/>
    <w:rsid w:val="00C4119B"/>
    <w:rsid w:val="00C42941"/>
    <w:rsid w:val="00C4418B"/>
    <w:rsid w:val="00C44426"/>
    <w:rsid w:val="00C445F3"/>
    <w:rsid w:val="00C451F4"/>
    <w:rsid w:val="00C453AF"/>
    <w:rsid w:val="00C45752"/>
    <w:rsid w:val="00C45EB1"/>
    <w:rsid w:val="00C466CD"/>
    <w:rsid w:val="00C468E6"/>
    <w:rsid w:val="00C51C3E"/>
    <w:rsid w:val="00C524B4"/>
    <w:rsid w:val="00C5387E"/>
    <w:rsid w:val="00C543C6"/>
    <w:rsid w:val="00C545C6"/>
    <w:rsid w:val="00C54A3A"/>
    <w:rsid w:val="00C55566"/>
    <w:rsid w:val="00C556B6"/>
    <w:rsid w:val="00C56448"/>
    <w:rsid w:val="00C574F9"/>
    <w:rsid w:val="00C604A7"/>
    <w:rsid w:val="00C60956"/>
    <w:rsid w:val="00C60F22"/>
    <w:rsid w:val="00C61917"/>
    <w:rsid w:val="00C61F32"/>
    <w:rsid w:val="00C62C82"/>
    <w:rsid w:val="00C667BE"/>
    <w:rsid w:val="00C66E4C"/>
    <w:rsid w:val="00C6766B"/>
    <w:rsid w:val="00C70F47"/>
    <w:rsid w:val="00C715E5"/>
    <w:rsid w:val="00C72223"/>
    <w:rsid w:val="00C72E98"/>
    <w:rsid w:val="00C730B1"/>
    <w:rsid w:val="00C76417"/>
    <w:rsid w:val="00C76F50"/>
    <w:rsid w:val="00C7702C"/>
    <w:rsid w:val="00C7726F"/>
    <w:rsid w:val="00C814FB"/>
    <w:rsid w:val="00C81634"/>
    <w:rsid w:val="00C81B56"/>
    <w:rsid w:val="00C823DA"/>
    <w:rsid w:val="00C8259F"/>
    <w:rsid w:val="00C82746"/>
    <w:rsid w:val="00C8312F"/>
    <w:rsid w:val="00C83EED"/>
    <w:rsid w:val="00C84C47"/>
    <w:rsid w:val="00C858A4"/>
    <w:rsid w:val="00C86AFA"/>
    <w:rsid w:val="00C8704B"/>
    <w:rsid w:val="00C875FA"/>
    <w:rsid w:val="00C90AB2"/>
    <w:rsid w:val="00C91019"/>
    <w:rsid w:val="00C923A3"/>
    <w:rsid w:val="00C928F2"/>
    <w:rsid w:val="00C943B7"/>
    <w:rsid w:val="00C94713"/>
    <w:rsid w:val="00C95698"/>
    <w:rsid w:val="00C96252"/>
    <w:rsid w:val="00C9635D"/>
    <w:rsid w:val="00C96441"/>
    <w:rsid w:val="00CA2A99"/>
    <w:rsid w:val="00CA2AC5"/>
    <w:rsid w:val="00CA30EA"/>
    <w:rsid w:val="00CA575F"/>
    <w:rsid w:val="00CA74CA"/>
    <w:rsid w:val="00CB09D5"/>
    <w:rsid w:val="00CB18D0"/>
    <w:rsid w:val="00CB1C8A"/>
    <w:rsid w:val="00CB24F5"/>
    <w:rsid w:val="00CB2663"/>
    <w:rsid w:val="00CB3BBE"/>
    <w:rsid w:val="00CB472C"/>
    <w:rsid w:val="00CB4C11"/>
    <w:rsid w:val="00CB5611"/>
    <w:rsid w:val="00CB59E9"/>
    <w:rsid w:val="00CB5EE8"/>
    <w:rsid w:val="00CB77ED"/>
    <w:rsid w:val="00CC0647"/>
    <w:rsid w:val="00CC0D6A"/>
    <w:rsid w:val="00CC12CE"/>
    <w:rsid w:val="00CC1E05"/>
    <w:rsid w:val="00CC2616"/>
    <w:rsid w:val="00CC30AC"/>
    <w:rsid w:val="00CC364D"/>
    <w:rsid w:val="00CC3831"/>
    <w:rsid w:val="00CC3E3D"/>
    <w:rsid w:val="00CC519B"/>
    <w:rsid w:val="00CC7EDC"/>
    <w:rsid w:val="00CD0EB4"/>
    <w:rsid w:val="00CD12C1"/>
    <w:rsid w:val="00CD14D8"/>
    <w:rsid w:val="00CD214E"/>
    <w:rsid w:val="00CD2886"/>
    <w:rsid w:val="00CD2BF4"/>
    <w:rsid w:val="00CD3BAB"/>
    <w:rsid w:val="00CD4117"/>
    <w:rsid w:val="00CD46FA"/>
    <w:rsid w:val="00CD5973"/>
    <w:rsid w:val="00CD5B36"/>
    <w:rsid w:val="00CD5C77"/>
    <w:rsid w:val="00CD71D0"/>
    <w:rsid w:val="00CD7B27"/>
    <w:rsid w:val="00CD7B8C"/>
    <w:rsid w:val="00CE1EAA"/>
    <w:rsid w:val="00CE2D1C"/>
    <w:rsid w:val="00CE31A6"/>
    <w:rsid w:val="00CE3D69"/>
    <w:rsid w:val="00CE7796"/>
    <w:rsid w:val="00CF09AA"/>
    <w:rsid w:val="00CF4164"/>
    <w:rsid w:val="00CF47B8"/>
    <w:rsid w:val="00CF4813"/>
    <w:rsid w:val="00CF5233"/>
    <w:rsid w:val="00CF669D"/>
    <w:rsid w:val="00D017D3"/>
    <w:rsid w:val="00D0265A"/>
    <w:rsid w:val="00D029B8"/>
    <w:rsid w:val="00D02F60"/>
    <w:rsid w:val="00D0464E"/>
    <w:rsid w:val="00D04A96"/>
    <w:rsid w:val="00D05AD4"/>
    <w:rsid w:val="00D074E5"/>
    <w:rsid w:val="00D07624"/>
    <w:rsid w:val="00D078BF"/>
    <w:rsid w:val="00D07A7B"/>
    <w:rsid w:val="00D10E06"/>
    <w:rsid w:val="00D1349C"/>
    <w:rsid w:val="00D1447C"/>
    <w:rsid w:val="00D14CD1"/>
    <w:rsid w:val="00D15197"/>
    <w:rsid w:val="00D16820"/>
    <w:rsid w:val="00D169C8"/>
    <w:rsid w:val="00D17173"/>
    <w:rsid w:val="00D1793F"/>
    <w:rsid w:val="00D209B4"/>
    <w:rsid w:val="00D21782"/>
    <w:rsid w:val="00D22AF5"/>
    <w:rsid w:val="00D235EA"/>
    <w:rsid w:val="00D2366D"/>
    <w:rsid w:val="00D247A9"/>
    <w:rsid w:val="00D260A8"/>
    <w:rsid w:val="00D27EA1"/>
    <w:rsid w:val="00D30B78"/>
    <w:rsid w:val="00D30C0A"/>
    <w:rsid w:val="00D32721"/>
    <w:rsid w:val="00D328DC"/>
    <w:rsid w:val="00D33387"/>
    <w:rsid w:val="00D34960"/>
    <w:rsid w:val="00D34D98"/>
    <w:rsid w:val="00D402FB"/>
    <w:rsid w:val="00D4055E"/>
    <w:rsid w:val="00D421BA"/>
    <w:rsid w:val="00D45E36"/>
    <w:rsid w:val="00D469A7"/>
    <w:rsid w:val="00D4745B"/>
    <w:rsid w:val="00D47D7A"/>
    <w:rsid w:val="00D50ABD"/>
    <w:rsid w:val="00D51ECB"/>
    <w:rsid w:val="00D52A86"/>
    <w:rsid w:val="00D53E27"/>
    <w:rsid w:val="00D5434A"/>
    <w:rsid w:val="00D548DC"/>
    <w:rsid w:val="00D55290"/>
    <w:rsid w:val="00D56319"/>
    <w:rsid w:val="00D57791"/>
    <w:rsid w:val="00D6046A"/>
    <w:rsid w:val="00D61EA2"/>
    <w:rsid w:val="00D62870"/>
    <w:rsid w:val="00D64068"/>
    <w:rsid w:val="00D64F9A"/>
    <w:rsid w:val="00D655D9"/>
    <w:rsid w:val="00D65833"/>
    <w:rsid w:val="00D65872"/>
    <w:rsid w:val="00D670FA"/>
    <w:rsid w:val="00D676F3"/>
    <w:rsid w:val="00D67D3F"/>
    <w:rsid w:val="00D70282"/>
    <w:rsid w:val="00D706E6"/>
    <w:rsid w:val="00D70EF5"/>
    <w:rsid w:val="00D71024"/>
    <w:rsid w:val="00D71A25"/>
    <w:rsid w:val="00D71FCF"/>
    <w:rsid w:val="00D72A54"/>
    <w:rsid w:val="00D72B66"/>
    <w:rsid w:val="00D72CC1"/>
    <w:rsid w:val="00D7546B"/>
    <w:rsid w:val="00D76EC9"/>
    <w:rsid w:val="00D777AE"/>
    <w:rsid w:val="00D77D00"/>
    <w:rsid w:val="00D80E7D"/>
    <w:rsid w:val="00D81397"/>
    <w:rsid w:val="00D848B9"/>
    <w:rsid w:val="00D84E69"/>
    <w:rsid w:val="00D877F4"/>
    <w:rsid w:val="00D901A7"/>
    <w:rsid w:val="00D90E69"/>
    <w:rsid w:val="00D91368"/>
    <w:rsid w:val="00D93106"/>
    <w:rsid w:val="00D933E9"/>
    <w:rsid w:val="00D94904"/>
    <w:rsid w:val="00D9505D"/>
    <w:rsid w:val="00D953D0"/>
    <w:rsid w:val="00D959F5"/>
    <w:rsid w:val="00D96884"/>
    <w:rsid w:val="00D97391"/>
    <w:rsid w:val="00DA0FC0"/>
    <w:rsid w:val="00DA25A2"/>
    <w:rsid w:val="00DA2F39"/>
    <w:rsid w:val="00DA3FDD"/>
    <w:rsid w:val="00DA53B1"/>
    <w:rsid w:val="00DA560C"/>
    <w:rsid w:val="00DA64A2"/>
    <w:rsid w:val="00DA6AE2"/>
    <w:rsid w:val="00DA7017"/>
    <w:rsid w:val="00DA7028"/>
    <w:rsid w:val="00DB01A4"/>
    <w:rsid w:val="00DB0AD1"/>
    <w:rsid w:val="00DB1AD2"/>
    <w:rsid w:val="00DB2B58"/>
    <w:rsid w:val="00DB362C"/>
    <w:rsid w:val="00DB4E28"/>
    <w:rsid w:val="00DB5206"/>
    <w:rsid w:val="00DB6276"/>
    <w:rsid w:val="00DB63F5"/>
    <w:rsid w:val="00DC1C6B"/>
    <w:rsid w:val="00DC1F71"/>
    <w:rsid w:val="00DC2C2E"/>
    <w:rsid w:val="00DC35D8"/>
    <w:rsid w:val="00DC4AF0"/>
    <w:rsid w:val="00DC687B"/>
    <w:rsid w:val="00DC7886"/>
    <w:rsid w:val="00DD02B3"/>
    <w:rsid w:val="00DD0CF2"/>
    <w:rsid w:val="00DD11AB"/>
    <w:rsid w:val="00DD1B3C"/>
    <w:rsid w:val="00DD284F"/>
    <w:rsid w:val="00DD2923"/>
    <w:rsid w:val="00DD386E"/>
    <w:rsid w:val="00DD4B2B"/>
    <w:rsid w:val="00DD4D51"/>
    <w:rsid w:val="00DD5285"/>
    <w:rsid w:val="00DD531D"/>
    <w:rsid w:val="00DE1018"/>
    <w:rsid w:val="00DE1554"/>
    <w:rsid w:val="00DE2901"/>
    <w:rsid w:val="00DE590F"/>
    <w:rsid w:val="00DE65FE"/>
    <w:rsid w:val="00DE7278"/>
    <w:rsid w:val="00DE7DC1"/>
    <w:rsid w:val="00DF0A12"/>
    <w:rsid w:val="00DF0FC9"/>
    <w:rsid w:val="00DF3F7E"/>
    <w:rsid w:val="00DF4B53"/>
    <w:rsid w:val="00DF679C"/>
    <w:rsid w:val="00DF7648"/>
    <w:rsid w:val="00E009C0"/>
    <w:rsid w:val="00E00E29"/>
    <w:rsid w:val="00E01413"/>
    <w:rsid w:val="00E01A76"/>
    <w:rsid w:val="00E02427"/>
    <w:rsid w:val="00E02BAB"/>
    <w:rsid w:val="00E030C2"/>
    <w:rsid w:val="00E03921"/>
    <w:rsid w:val="00E04CEB"/>
    <w:rsid w:val="00E05C6B"/>
    <w:rsid w:val="00E060BC"/>
    <w:rsid w:val="00E11420"/>
    <w:rsid w:val="00E12562"/>
    <w:rsid w:val="00E1316A"/>
    <w:rsid w:val="00E132FB"/>
    <w:rsid w:val="00E13D43"/>
    <w:rsid w:val="00E1447B"/>
    <w:rsid w:val="00E15605"/>
    <w:rsid w:val="00E170B7"/>
    <w:rsid w:val="00E177DD"/>
    <w:rsid w:val="00E20900"/>
    <w:rsid w:val="00E20C7F"/>
    <w:rsid w:val="00E2396E"/>
    <w:rsid w:val="00E24284"/>
    <w:rsid w:val="00E24483"/>
    <w:rsid w:val="00E24728"/>
    <w:rsid w:val="00E276AC"/>
    <w:rsid w:val="00E314B3"/>
    <w:rsid w:val="00E32591"/>
    <w:rsid w:val="00E33ED1"/>
    <w:rsid w:val="00E34A35"/>
    <w:rsid w:val="00E3771E"/>
    <w:rsid w:val="00E37C2F"/>
    <w:rsid w:val="00E40149"/>
    <w:rsid w:val="00E40B69"/>
    <w:rsid w:val="00E41C28"/>
    <w:rsid w:val="00E423CB"/>
    <w:rsid w:val="00E42941"/>
    <w:rsid w:val="00E4546E"/>
    <w:rsid w:val="00E46308"/>
    <w:rsid w:val="00E47760"/>
    <w:rsid w:val="00E51E17"/>
    <w:rsid w:val="00E52DAB"/>
    <w:rsid w:val="00E539B0"/>
    <w:rsid w:val="00E53A98"/>
    <w:rsid w:val="00E55994"/>
    <w:rsid w:val="00E572BF"/>
    <w:rsid w:val="00E57B4D"/>
    <w:rsid w:val="00E57CE2"/>
    <w:rsid w:val="00E60606"/>
    <w:rsid w:val="00E60C66"/>
    <w:rsid w:val="00E6164D"/>
    <w:rsid w:val="00E618C9"/>
    <w:rsid w:val="00E62774"/>
    <w:rsid w:val="00E62A77"/>
    <w:rsid w:val="00E6307C"/>
    <w:rsid w:val="00E636FA"/>
    <w:rsid w:val="00E66C50"/>
    <w:rsid w:val="00E679D3"/>
    <w:rsid w:val="00E67CC8"/>
    <w:rsid w:val="00E702FF"/>
    <w:rsid w:val="00E711B3"/>
    <w:rsid w:val="00E71208"/>
    <w:rsid w:val="00E71444"/>
    <w:rsid w:val="00E71C91"/>
    <w:rsid w:val="00E720A1"/>
    <w:rsid w:val="00E72D6B"/>
    <w:rsid w:val="00E74C2F"/>
    <w:rsid w:val="00E74DEB"/>
    <w:rsid w:val="00E75DDA"/>
    <w:rsid w:val="00E773E8"/>
    <w:rsid w:val="00E83ADD"/>
    <w:rsid w:val="00E84AF9"/>
    <w:rsid w:val="00E84F38"/>
    <w:rsid w:val="00E85623"/>
    <w:rsid w:val="00E87328"/>
    <w:rsid w:val="00E87441"/>
    <w:rsid w:val="00E91FAE"/>
    <w:rsid w:val="00E959CD"/>
    <w:rsid w:val="00E9617F"/>
    <w:rsid w:val="00E96E3F"/>
    <w:rsid w:val="00E976CE"/>
    <w:rsid w:val="00EA12F0"/>
    <w:rsid w:val="00EA270C"/>
    <w:rsid w:val="00EA4974"/>
    <w:rsid w:val="00EA532E"/>
    <w:rsid w:val="00EA5B47"/>
    <w:rsid w:val="00EA7E84"/>
    <w:rsid w:val="00EB06D9"/>
    <w:rsid w:val="00EB192B"/>
    <w:rsid w:val="00EB19ED"/>
    <w:rsid w:val="00EB1CAB"/>
    <w:rsid w:val="00EB6C2C"/>
    <w:rsid w:val="00EB6DAC"/>
    <w:rsid w:val="00EC0F5A"/>
    <w:rsid w:val="00EC4265"/>
    <w:rsid w:val="00EC4CEB"/>
    <w:rsid w:val="00EC5611"/>
    <w:rsid w:val="00EC5954"/>
    <w:rsid w:val="00EC5BDD"/>
    <w:rsid w:val="00EC5D49"/>
    <w:rsid w:val="00EC5D7D"/>
    <w:rsid w:val="00EC659E"/>
    <w:rsid w:val="00EC7BB9"/>
    <w:rsid w:val="00EC7F04"/>
    <w:rsid w:val="00ED2072"/>
    <w:rsid w:val="00ED2AE0"/>
    <w:rsid w:val="00ED457D"/>
    <w:rsid w:val="00ED5482"/>
    <w:rsid w:val="00ED5553"/>
    <w:rsid w:val="00ED5E36"/>
    <w:rsid w:val="00ED6456"/>
    <w:rsid w:val="00ED6961"/>
    <w:rsid w:val="00ED6A11"/>
    <w:rsid w:val="00ED73EF"/>
    <w:rsid w:val="00EE3897"/>
    <w:rsid w:val="00EE5544"/>
    <w:rsid w:val="00EF0B96"/>
    <w:rsid w:val="00EF1968"/>
    <w:rsid w:val="00EF2A62"/>
    <w:rsid w:val="00EF2EB2"/>
    <w:rsid w:val="00EF3486"/>
    <w:rsid w:val="00EF47AF"/>
    <w:rsid w:val="00EF4974"/>
    <w:rsid w:val="00EF5089"/>
    <w:rsid w:val="00EF53B6"/>
    <w:rsid w:val="00EF5A2F"/>
    <w:rsid w:val="00EF6C76"/>
    <w:rsid w:val="00EF7F6E"/>
    <w:rsid w:val="00F00B73"/>
    <w:rsid w:val="00F00B8A"/>
    <w:rsid w:val="00F02DE2"/>
    <w:rsid w:val="00F037C4"/>
    <w:rsid w:val="00F070C3"/>
    <w:rsid w:val="00F10A94"/>
    <w:rsid w:val="00F115CA"/>
    <w:rsid w:val="00F11979"/>
    <w:rsid w:val="00F14817"/>
    <w:rsid w:val="00F14A7B"/>
    <w:rsid w:val="00F14EBA"/>
    <w:rsid w:val="00F1510F"/>
    <w:rsid w:val="00F1533A"/>
    <w:rsid w:val="00F15E5A"/>
    <w:rsid w:val="00F1749F"/>
    <w:rsid w:val="00F176D4"/>
    <w:rsid w:val="00F17F0A"/>
    <w:rsid w:val="00F2013F"/>
    <w:rsid w:val="00F20278"/>
    <w:rsid w:val="00F221D3"/>
    <w:rsid w:val="00F229CD"/>
    <w:rsid w:val="00F2668F"/>
    <w:rsid w:val="00F2742F"/>
    <w:rsid w:val="00F2753B"/>
    <w:rsid w:val="00F316AA"/>
    <w:rsid w:val="00F33E71"/>
    <w:rsid w:val="00F33F8B"/>
    <w:rsid w:val="00F340B2"/>
    <w:rsid w:val="00F345C0"/>
    <w:rsid w:val="00F356B9"/>
    <w:rsid w:val="00F36134"/>
    <w:rsid w:val="00F413C8"/>
    <w:rsid w:val="00F42D53"/>
    <w:rsid w:val="00F43390"/>
    <w:rsid w:val="00F433F9"/>
    <w:rsid w:val="00F443B2"/>
    <w:rsid w:val="00F458D8"/>
    <w:rsid w:val="00F45E26"/>
    <w:rsid w:val="00F501EC"/>
    <w:rsid w:val="00F50237"/>
    <w:rsid w:val="00F51BEC"/>
    <w:rsid w:val="00F52558"/>
    <w:rsid w:val="00F53596"/>
    <w:rsid w:val="00F54972"/>
    <w:rsid w:val="00F55A3B"/>
    <w:rsid w:val="00F55BA8"/>
    <w:rsid w:val="00F55BDF"/>
    <w:rsid w:val="00F55DB1"/>
    <w:rsid w:val="00F56ACA"/>
    <w:rsid w:val="00F600FE"/>
    <w:rsid w:val="00F60243"/>
    <w:rsid w:val="00F619CE"/>
    <w:rsid w:val="00F62E4D"/>
    <w:rsid w:val="00F642D4"/>
    <w:rsid w:val="00F66B34"/>
    <w:rsid w:val="00F675B9"/>
    <w:rsid w:val="00F711B1"/>
    <w:rsid w:val="00F711C9"/>
    <w:rsid w:val="00F7137A"/>
    <w:rsid w:val="00F71A6F"/>
    <w:rsid w:val="00F72DF5"/>
    <w:rsid w:val="00F73F0F"/>
    <w:rsid w:val="00F74036"/>
    <w:rsid w:val="00F7480F"/>
    <w:rsid w:val="00F74C59"/>
    <w:rsid w:val="00F75C3A"/>
    <w:rsid w:val="00F76C55"/>
    <w:rsid w:val="00F800B9"/>
    <w:rsid w:val="00F82848"/>
    <w:rsid w:val="00F82E30"/>
    <w:rsid w:val="00F831CB"/>
    <w:rsid w:val="00F83BC8"/>
    <w:rsid w:val="00F83C5A"/>
    <w:rsid w:val="00F84320"/>
    <w:rsid w:val="00F845FA"/>
    <w:rsid w:val="00F848A3"/>
    <w:rsid w:val="00F84ACF"/>
    <w:rsid w:val="00F85742"/>
    <w:rsid w:val="00F85BF8"/>
    <w:rsid w:val="00F871CE"/>
    <w:rsid w:val="00F87802"/>
    <w:rsid w:val="00F920F7"/>
    <w:rsid w:val="00F92415"/>
    <w:rsid w:val="00F92B3A"/>
    <w:rsid w:val="00F92C0A"/>
    <w:rsid w:val="00F940B8"/>
    <w:rsid w:val="00F9415B"/>
    <w:rsid w:val="00F94165"/>
    <w:rsid w:val="00F96F76"/>
    <w:rsid w:val="00F97715"/>
    <w:rsid w:val="00FA00CB"/>
    <w:rsid w:val="00FA13C2"/>
    <w:rsid w:val="00FA3BB5"/>
    <w:rsid w:val="00FA4960"/>
    <w:rsid w:val="00FA4E26"/>
    <w:rsid w:val="00FA569E"/>
    <w:rsid w:val="00FA6F36"/>
    <w:rsid w:val="00FA7043"/>
    <w:rsid w:val="00FA7F91"/>
    <w:rsid w:val="00FB095F"/>
    <w:rsid w:val="00FB121C"/>
    <w:rsid w:val="00FB1CDD"/>
    <w:rsid w:val="00FB1FBF"/>
    <w:rsid w:val="00FB2C2F"/>
    <w:rsid w:val="00FB305C"/>
    <w:rsid w:val="00FB5D11"/>
    <w:rsid w:val="00FB68B3"/>
    <w:rsid w:val="00FC2B8E"/>
    <w:rsid w:val="00FC2D51"/>
    <w:rsid w:val="00FC2E3D"/>
    <w:rsid w:val="00FC3BDE"/>
    <w:rsid w:val="00FC40FD"/>
    <w:rsid w:val="00FC4BC3"/>
    <w:rsid w:val="00FC4C66"/>
    <w:rsid w:val="00FD1503"/>
    <w:rsid w:val="00FD1DBE"/>
    <w:rsid w:val="00FD25A7"/>
    <w:rsid w:val="00FD27B6"/>
    <w:rsid w:val="00FD3448"/>
    <w:rsid w:val="00FD3689"/>
    <w:rsid w:val="00FD3B6A"/>
    <w:rsid w:val="00FD42A3"/>
    <w:rsid w:val="00FD43F6"/>
    <w:rsid w:val="00FD44A3"/>
    <w:rsid w:val="00FD59C4"/>
    <w:rsid w:val="00FD7468"/>
    <w:rsid w:val="00FD7CE0"/>
    <w:rsid w:val="00FD7D92"/>
    <w:rsid w:val="00FE093F"/>
    <w:rsid w:val="00FE0B3B"/>
    <w:rsid w:val="00FE1A47"/>
    <w:rsid w:val="00FE1BE2"/>
    <w:rsid w:val="00FE3CB8"/>
    <w:rsid w:val="00FE475C"/>
    <w:rsid w:val="00FE730A"/>
    <w:rsid w:val="00FF1DD7"/>
    <w:rsid w:val="00FF43B9"/>
    <w:rsid w:val="00FF4453"/>
    <w:rsid w:val="00FF45D8"/>
    <w:rsid w:val="00FF4F38"/>
    <w:rsid w:val="00FF6B14"/>
    <w:rsid w:val="00FF7F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706C0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 w:uiPriority="34" w:qFormat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2E0E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2D423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2D4237"/>
    <w:pPr>
      <w:keepNext/>
      <w:widowControl/>
      <w:autoSpaceDE/>
      <w:autoSpaceDN/>
      <w:adjustRightInd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42722C"/>
    <w:pPr>
      <w:widowControl/>
      <w:autoSpaceDE/>
      <w:autoSpaceDN/>
      <w:adjustRightInd/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uiPriority w:val="39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character" w:customStyle="1" w:styleId="Nagwek3Znak">
    <w:name w:val="Nagłówek 3 Znak"/>
    <w:basedOn w:val="Domylnaczcionkaakapitu"/>
    <w:link w:val="Nagwek3"/>
    <w:rsid w:val="002D4237"/>
    <w:rPr>
      <w:rFonts w:ascii="Arial" w:hAnsi="Arial" w:cs="Arial"/>
      <w:b/>
      <w:bCs/>
      <w:sz w:val="26"/>
      <w:szCs w:val="26"/>
    </w:rPr>
  </w:style>
  <w:style w:type="paragraph" w:styleId="Poprawka">
    <w:name w:val="Revision"/>
    <w:hidden/>
    <w:uiPriority w:val="99"/>
    <w:semiHidden/>
    <w:rsid w:val="002D4237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4237"/>
    <w:pPr>
      <w:widowControl/>
      <w:autoSpaceDE/>
      <w:autoSpaceDN/>
      <w:adjustRightInd/>
      <w:spacing w:line="240" w:lineRule="auto"/>
    </w:pPr>
    <w:rPr>
      <w:rFonts w:ascii="Calibri" w:eastAsia="Calibri" w:hAnsi="Calibri" w:cs="Times New Roman"/>
      <w:sz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4237"/>
    <w:rPr>
      <w:rFonts w:ascii="Calibri" w:eastAsia="Calibri" w:hAnsi="Calibri"/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2D4237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2D4237"/>
    <w:pPr>
      <w:widowControl/>
      <w:autoSpaceDE/>
      <w:autoSpaceDN/>
      <w:adjustRightInd/>
      <w:spacing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uiPriority w:val="99"/>
    <w:unhideWhenUsed/>
    <w:rsid w:val="002D4237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2D4237"/>
    <w:rPr>
      <w:color w:val="800080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2D4237"/>
    <w:pPr>
      <w:widowControl/>
      <w:autoSpaceDE/>
      <w:autoSpaceDN/>
      <w:adjustRightInd/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D4237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2D423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D4237"/>
    <w:rPr>
      <w:rFonts w:ascii="Calibri" w:eastAsia="Calibri" w:hAnsi="Calibri"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semiHidden/>
    <w:rsid w:val="0042722C"/>
    <w:rPr>
      <w:rFonts w:ascii="Calibri" w:hAnsi="Calibri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2722C"/>
    <w:pPr>
      <w:autoSpaceDE w:val="0"/>
      <w:autoSpaceDN w:val="0"/>
      <w:adjustRightInd w:val="0"/>
      <w:spacing w:line="240" w:lineRule="auto"/>
    </w:pPr>
    <w:rPr>
      <w:rFonts w:ascii="EUAlbertina" w:eastAsia="Calibri" w:hAnsi="EUAlbertina" w:cs="EUAlbertina"/>
      <w:color w:val="000000"/>
    </w:rPr>
  </w:style>
  <w:style w:type="numbering" w:customStyle="1" w:styleId="Bezlisty1">
    <w:name w:val="Bez listy1"/>
    <w:next w:val="Bezlisty"/>
    <w:uiPriority w:val="99"/>
    <w:semiHidden/>
    <w:unhideWhenUsed/>
    <w:rsid w:val="0042722C"/>
  </w:style>
  <w:style w:type="table" w:customStyle="1" w:styleId="Tabela-Siatka1">
    <w:name w:val="Tabela - Siatka1"/>
    <w:basedOn w:val="Standardowy"/>
    <w:next w:val="Tabela-Siatka"/>
    <w:uiPriority w:val="39"/>
    <w:rsid w:val="0042722C"/>
    <w:pPr>
      <w:spacing w:line="240" w:lineRule="auto"/>
    </w:pPr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">
    <w:name w:val="List Bullet"/>
    <w:basedOn w:val="Normalny"/>
    <w:uiPriority w:val="99"/>
    <w:unhideWhenUsed/>
    <w:rsid w:val="00BC43B0"/>
    <w:pPr>
      <w:numPr>
        <w:numId w:val="3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7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ov.pl/web/cyfryzacja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mikolaj.garstka@cyfra.gov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ominik.sybilski@cyfra.gov.p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anna.gos@cyfra.gov.pl" TargetMode="Externa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PL/TXT/?uri=CELEX%3A52016XC0719%2805%29" TargetMode="External"/><Relationship Id="rId1" Type="http://schemas.openxmlformats.org/officeDocument/2006/relationships/hyperlink" Target="https://eur-lex.europa.eu/legal-content/PL/TXT/?uri=CELEX%3A52016XC0719%2805%29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Makroinstrukcje2.xml>��< c u s t o m U I   x m l n s = " h t t p : / / s c h e m a s . m i c r o s o f t . c o m / o f f i c e / 2 0 0 6 / 0 1 / c u s t o m u i " >  
 < r i b b o n >  
 < t a b s >  
 < t a b   i d M s o = " T a b H o m e " >  
 < g r o u p   i d M s o = " G r o u p F o n t "   v i s i b l e = " f a l s e " / >  
 < g r o u p   i d M s o = " G r o u p P a r a g r a p h "   v i s i b l e = " f a l s e " / >  
 < g r o u p   i d = " g M a k r a 4 "   l a b e l = " W y g l d   t e k s t u "   i n s e r t B e f o r e M s o = " G r o u p F o n t " >  
 < b u t t o n   i d = " p M a k r o 1 5 "   v i s i b l e = " t r u e "   l a b e l = " P o g r u b i e n i e "   i m a g e M s o = " C h a r a c t e r S h a d i n g "   o n A c t i o n = " S t u b . B o l d _ s t u b " / >  
 < b u t t o n   i d = " p M a k r o 1 6 "   v i s i b l e = " t r u e "   l a b e l = " K u r s y w a "   i m a g e M s o = " W o r d A r t F o r m a t D i a l o g "   o n A c t i o n = " S t u b . I t a l i c _ s t u b " / >  
 < t o g g l e B u t t o n   i d M s o = " P a r a g r a p h M a r k s "   i m a g e M s o = " P a r a g r a p h M a r k s " / >  
 < b u t t o n   i d = " p M a k r o 1 8 "   v i s i b l e = " t r u e "   l a b e l = " I n d e k s   g � r n y "   i m a g e M s o = " F o n t S c h e m e s "   o n A c t i o n = " S t u b . G _ I n d e k s _ s t u b " / >  
 < b u t t o n   i d = " p M a k r o 1 7 "   v i s i b l e = " t r u e "   l a b e l = " I n d e k s   d o l n y "   i m a g e M s o = " M a i l M e r g e R e s u l t s P r e v i e w "   o n A c t i o n = " S t u b . D _ i n d e k s _ s t u b " / >  
 < b u t t o n   i d = " p M a k r o 2 4 "   v i s i b l e = " t r u e "   l a b e l = " N o r m a l n a   c z c i o n k a "   i m a g e M s o = " C h a r a c t e r B o r d e r "   o n A c t i o n = " S t u b . B e z _ s t y l u _ s t u b " / >  
 < / g r o u p >  
 < g r o u p   i d = " g M a k r a 5 "   l a b e l = " E d y c j a   t e k s t u "   i n s e r t B e f o r e M s o = " G r o u p F o n t " >  
 < b u t t o n   i d = " p M a k r o 1 9 "   v i s i b l e = " t r u e "   l a b e l = " W s t a w i e n i e   o d n o [n i k a "   o n A c t i o n = " S t u b . P r z y p i s _ s t u b " / >  
 < b u t t o n   i d = " p M a k r o 3 0 "   v i s i b l e = " t r u e "   l a b e l = " U s u n i c i e   o d n o [n i k a "   o n A c t i o n = " S t u b . U s u n _ p r z y p i s _ s t u b " / >  
 < b u t t o n   i d = " p M a k r o 2 5 "   v i s i b l e = " t r u e "   l a b e l = " W s t a w i e n i e   z a k Ba d k i "   i m a g e M s o = " W e b S e r v e r D i s c u s s i o n s "   o n A c t i o n = " S t u b . W s t a w _ Z a k l a d k e _ s t u b " / >  
 < / g r o u p >  
 < g r o u p   i d = " g M a k r a 6 "   l a b e l = " K o l o r y "   i n s e r t A f t e r M s o = " G r o u p F o n t " >  
 < b u t t o n   i d = " p M a k r o 3 1 "   v i s i b l e = " t r u e "   l a b e l = " N a   c z e r w o n o "   i m a g e M s o = " A p p o i n t m e n t C o l o r 1 "   o n A c t i o n = " S t u b . K o l o r _ c z e r w o n y _ s t u b " / >  
 < b u t t o n   i d = " p M a k r o 3 2 "   v i s i b l e = " t r u e "   l a b e l = " N a   n i e b i e s k o "   i m a g e M s o = " A p p o i n t m e n t C o l o r 6 "   o n A c t i o n = " S t u b . K o l o r _ n i e b i e s k i _ s t u b " / >  
 < b u t t o n   i d = " p M a k r o 3 5 "   v i s i b l e = " t r u e "   l a b e l = " U s u n i c i e   k o l o r � w "   i m a g e M s o = " A p p o i n t m e n t C o l o r 0 "   o n A c t i o n = " S t u b . B e z _ k o l o r u _ s t u b " / >  
 < b u t t o n   i d = " p M a k r o 3 3 "   v i s i b l e = " t r u e "   l a b e l = " N a   z i e l o n o "   i m a g e M s o = " A p p o i n t m e n t C o l o r 3 "   o n A c t i o n = " S t u b . K o l o r _ z i e l o n y _ s t u b " / >  
 < b u t t o n   i d = " p M a k r o 3 4 "   v i s i b l e = " t r u e "   l a b e l = " N a   |� Bt o "   i m a g e M s o = " A p p o i n t m e n t C o l o r 1 0 "   o n A c t i o n = " S t u b . K o l o r _ z o l t y _ s t u b " / >  
 < / g r o u p >  
 < g r o u p   i d = " g M a k r a 3 "   l a b e l = " Z m i a n a   s t y l � w "   i n s e r t A f t e r M s o = " G r o u p F o n t " >  
 < b u t t o n   i d = " p M a k r o 1 0 "   v i s i b l e = " t r u e "   l a b e l = " D o   n o w e l i z a c j i "   i m a g e M s o = " O u t l i n e D e m o t e T o B o d y T e x t "   o n A c t i o n = " S t u b . Z w i e k s z P o z i o m N o w e l i z a c j i _ s t u b " / >  
 < b u t t o n   i d = " p M a k r o 1 1 "   v i s i b l e = " t r u e "   l a b e l = " D o   a k t u   g B� w n e g o "   i m a g e M s o = " O u t l i n e P r o m o t e T o H e a d i n g "   o n A c t i o n = " S t u b . Z m n i e j s z P o z i o m N o w e l i z a c j i _ s t u b " / >  
 < b u t t o n   i d = " p M a k r o 1 4 "   v i s i b l e = " t r u e "   l a b e l = " P r z e n u m e r o w a n i e "   i m a g e M s o = " B u l l e t s "   o n A c t i o n = " S t u b . P r z e n u m e r u j _ s t u b " / >  
 < b u t t o n   i d = " p M a k r o 1 2 "   v i s i b l e = " t r u e "   l a b e l = " D o   j e d n o s t k i   n i |s z e g o   s t o p n i a "   i m a g e M s o = " R i g h t A r r o w 2 "   o n A c t i o n = " S t u b . Z w i e k s z Z a g l e b i e n i e _ s t u b " / >  
 < b u t t o n   i d = " p M a k r o 1 3 "   v i s i b l e = " t r u e "   l a b e l = " D o   j e d n o s t k i   w y |s z e g o   s t o p n i a "   i m a g e M s o = " L e f t A r r o w 2 "   o n A c t i o n = " S t u b . Z m n i e j s z Z a g l e b i e n i e _ s t u b " / >  
 < / g r o u p >  
 < / t a b >  
 < t a b   i d = " z M a k r a 1 "   l a b e l = " L e g i s l a c j a " >  
 < g r o u p   i d = " g M a k r a 1 "   l a b e l = " K o n w e r s j a " >  
 < b u t t o n   i d = " p M a k r o 2 3 "   l a b e l = " S p r a w d z e n i e   c u d z y s Bo w � w "   o n A c t i o n = " S t u b . S p r a w d z _ C u d z y s l o w y _ s t u b "   / >  
 < b u t t o n   i d = " p M a k r o 1 "   l a b e l = " K o n w e r s j a   a k t u "   i m a g e M s o = " V i e w G o F o r w a r d "   o n A c t i o n = " S t u b . P r z y p i s z _ S t y l _ s t u b "   / >  
 < b u t t o n   i d = " p M a k r o 4 "   l a b e l = " K o n w e r s j a   o d n o [n i k � w "   o n A c t i o n = " S t u b . P r z y p i s z _ S t y l _ O d n o s n i k i _ s t u b "   / >  
 < b u t t o n   i d = " p M a k r o 2 "   l a b e l = " K o n w e r s j a   o b w i e s z c z e n i a "   e n a b l e d   =   " f a l s e "   o n A c t i o n = " S t u b . P r z y p i s z _ S t y l _ t j _ s t u b "   / >  
 < b u t t o n   i d = " p M a k r o 3 "   l a b e l = " K o n w e r s j a   c a Bo [c i "   e n a b l e d   =   " f a l s e "   o n A c t i o n = " S t u b . P r z y p i s z _ S t y l _ C a l o s c _ s t u b "   / >  
 < b u t t o n   i d = " p M a k r o 5 1 "   l a b e l = " S p r a w d z e n i e   f r a g m e n t u "   e n a b l e d   =   " t r u e "   o n A c t i o n = " S t u b . S p r a w d z _ F r a g m e n t _ s t u b "   / >  
 < / g r o u p >  
 < g r o u p   i d = " g M a k r a 2 "   l a b e l = " W e r y f i k a c j a   s t y l � w " >  
 < b u t t o n   i d = " p M a k r o 6 "   v i s i b l e = " t r u e "   l a b e l = " P r o s t a "   i m a g e M s o = " _ 3 D P e r s p e c t i v e I n c r e a s e "   o n A c t i o n = " S t u b . K o r e k t a _ s t y l � w _ s t u b " / >  
 < b u t t o n   i d = " p M a k r o 9 "   v i s i b l e = " t r u e "   l a b e l = " Z   n a z w a m i   s t y l � w "   i m a g e M s o = " V i s i b i l i t y V i s i b l e "   o n A c t i o n = " S t u b . P o k a z Z e S t y l a m i _ s t u b " / >  
 < b u t t o n   i d = " p M a k r o 7 "   v i s i b l e = " t r u e "   l a b e l = " Z   k o l o r a m i   "   i m a g e M s o = " P e r s o n a S t a t u s B u s y "   o n A c t i o n = " S t u b . p o k a z Z K o l o r e m _ s t u b " / >  
 < b u t t o n   i d = " p M a k r o 5 "   l a b e l = " P o p r a w i e n i e   o d n o [n i k � w "   o n A c t i o n = " S t u b . P o p r a w P r z y p i s y _ s t u b "   / >  
 < b u t t o n   i d = " p M a k r o 4 2 "   v i s i b l e = " t r u e "   l a b e l = " A u t o n u m e r o w a n i e   o d n o [n i k � w "     o n A c t i o n = " S t u b . N u m e r u j _ o d n o s n i k i _ s t u b " / >  
 < b u t t o n   i d = " p M a k r o 8 "   v i s i b l e = " t r u e "   l a b e l = " U s u n i c i e   k o l o r � w "   i m a g e M s o = " A p p o i n t m e n t C o l o r 0 "   o n A c t i o n = " S t u b . B e z _ k o l o r u _ s t u b " / >  
 < / g r o u p >  
 < g r o u p   i d = " g M a k r a 7 "   l a b e l = " I n n e " >  
 < b u t t o n   i d = " p M a k r o 2 2 "   v i s i b l e = " t r u e "   l a b e l = " W s t a w i e n i e   t e k s t u "   o n A c t i o n = " S t u b . W k l e j _ s t u b " / >  
 < b u t t o n   i d = " p M a k r o 2 1 "   v i s i b l e = " t r u e "   l a b e l = " C z y s z c z e n i e "   o n A c t i o n = " S t u b . C z y s z c z e n i e _ s t u b " / >  
 < b u t t o n   i d = " p M a k r o 2 0 "   v i s i b l e = " t r u e "   l a b e l = " W s t a w i e n i e   p r z y p i s u   k o Dc o w e g o "   o n A c t i o n = " S t u b . P r z y p i s _ 2 _ s t u b " / >  
 < b u t t o n   i d = " p M a k r o 4 0 "   v i s i b l e = " t r u e "   l a b e l = " Z m i a n a   s z a b l o n u "   o n A c t i o n = " S t u b . Z m i e n _ S z a b l o n _ s t u b " / >  
 < b u t t o n   i d = " p M a k r o 4 1 "   v i s i b l e = " t r u e "   l a b e l = " Z a i n s t a l o w a n i e   s z a b l o n u "   o n A c t i o n = " S t u b . Z a i n s t a l u j _ S z a b l o n _ s t u b " / >  
 < / g r o u p >  
 < / t a b >  
 < t a b   i d = " z M a k r a 2 "   l a b e l = " Z a b l o k o w a n e " >  
 < g r o u p   i d M s o = " G r o u p F o n t "   v i s i b l e = " t r u e " / >  
 < g r o u p   i d M s o = " G r o u p P a r a g r a p h "   v i s i b l e = " t r u e " / >  
 < / t a b >  
 < / t a b s >  
 < / r i b b o n >  
 < / c u s t o m U I >  
 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2FBE625-DABB-4795-8692-646669261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4690</Words>
  <Characters>28459</Characters>
  <Application>Microsoft Office Word</Application>
  <DocSecurity>4</DocSecurity>
  <Lines>237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2023-10-11T13:52:00Z</dcterms:created>
  <dcterms:modified xsi:type="dcterms:W3CDTF">2023-10-11T13:52:00Z</dcterms:modified>
  <cp:category/>
</cp:coreProperties>
</file>

<file path=userCustomization/customUI.xml><?xml version="1.0" encoding="utf-8"?>
<mso:customUI xmlns:doc="http://schemas.microsoft.com/office/2006/01/customui/currentDocument" xmlns:mso="http://schemas.microsoft.com/office/2006/01/customui">
  <mso:ribbon>
    <mso:qat>
      <mso:documentControls>
        <mso:button idQ="doc:Korekta_stylów_1" visible="true" label="Korekta formatowania dokumentu" imageMso="_3DPerspectiveIncrease" onAction="Korekta_stylów"/>
        <mso:button idQ="doc:ZwiekszPoziomNowelizacji_1" visible="true" label="Przejście do nowelizacji" imageMso="OutlineDemoteToBodyText" onAction="ZwiekszPoziomNowelizacji"/>
        <mso:button idQ="doc:ZmniejszPoziomNowelizacji_1" visible="true" label="Przejście do aktu głównego" imageMso="OutlinePromoteToHeading" onAction="ZmniejszPoziomNowelizacji"/>
        <mso:button idQ="doc:ZwiekszZaglebienie_1" visible="true" label="Przejście do jednostki redakcyjnej niższego stopnia" imageMso="RightArrow2" onAction="ZwiekszZaglebienie"/>
        <mso:button idQ="doc:ZmniejszZaglebienie_1" visible="true" label="Przejście do jednostki redakcyjnej wyższego stopnia" imageMso="LeftArrow2" onAction="ZmniejszZaglebienie"/>
        <mso:button idQ="doc:Przenumeruj_1" visible="true" label="Przenumerowanie" imageMso="Bullets" onAction="Przenumeruj"/>
        <mso:button idQ="doc:wstaw_Zakladke_1" visible="true" label="Wstawienie zakładki" imageMso="WebServerDiscussions" onAction="wstaw_Zakladke"/>
        <mso:button idQ="doc:Kolor_czerwony_1" visible="true" label="Na czerwono" imageMso="AppointmentColor1" onAction="Kolor_czerwony"/>
        <mso:button idQ="doc:Kolor_niebieski_1" visible="true" label="Na niebiesko" imageMso="AppointmentColor6" onAction="Kolor_niebieski"/>
        <mso:button idQ="doc:Kolor_zielony_1" visible="true" label="Na zielono" imageMso="AppointmentColor3" onAction="Kolor_zielony"/>
        <mso:button idQ="doc:Kolor_zolty_1" visible="true" label="Na żółto" imageMso="AppointmentColor10" onAction="Kolor_zolty"/>
        <mso:button idQ="doc:Bez_koloru_1" visible="true" label="Usunięcie kolorów" imageMso="AppointmentColor0" onAction="Bez_koloru"/>
        <mso:button idQ="doc:Bold_1" visible="true" label="Pogrubienie" imageMso="CharacterShading" onAction="Bold"/>
        <mso:button idQ="doc:Italic_1" visible="true" label="Kursywa" imageMso="WordArtFormatDialog" onAction="Italic"/>
        <mso:button idQ="doc:D_indeks_1" visible="true" label="Indeks dolny" imageMso="MailMergeResultsPreview" onAction="D_indeks"/>
        <mso:button idQ="doc:G_Indeks_1" visible="true" label="Indeks górny" imageMso="FontSchemes" onAction="G_Indeks"/>
        <mso:button idQ="doc:Bez_stylu_1" visible="true" label="Normalna czcionka" imageMso="CharacterBorder" onAction="Bez_stylu"/>
      </mso:documentControls>
    </mso:qat>
  </mso:ribbon>
</mso:customUI>
</file>